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4A3B9D40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D76AD5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- </w:t>
      </w:r>
      <w:r w:rsidR="006623EF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Novice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0EBDA97F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864EB1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26</w:t>
      </w:r>
      <w:r w:rsidR="00AF346D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34  Developing and Caring for Early Learners (Birth - 35 months)</w:t>
      </w:r>
      <w:r w:rsidR="00707A53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4235EF32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The </w:t>
      </w:r>
      <w:r w:rsidR="00AF346D">
        <w:rPr>
          <w:rFonts w:ascii="Calibri" w:hAnsi="Calibri" w:cs="Segoe UI"/>
          <w:szCs w:val="22"/>
          <w:lang w:eastAsia="en-AU"/>
        </w:rPr>
        <w:t>professional experience report h</w:t>
      </w:r>
      <w:r w:rsidRPr="005E3EA0">
        <w:rPr>
          <w:rFonts w:ascii="Calibri" w:hAnsi="Calibri" w:cs="Segoe UI"/>
          <w:szCs w:val="22"/>
          <w:lang w:eastAsia="en-AU"/>
        </w:rPr>
        <w:t>ave been organised into key areas within this report to support supervising teacher’s assessment and judgement of PSTs’ progress in relation to:  </w:t>
      </w:r>
    </w:p>
    <w:p w14:paraId="17EE0FB7" w14:textId="702E0F63" w:rsidR="005E3EA0" w:rsidRPr="005E3EA0" w:rsidRDefault="00AF346D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Work effectively with children</w:t>
      </w:r>
    </w:p>
    <w:p w14:paraId="22DD90EF" w14:textId="111E851E" w:rsidR="005E3EA0" w:rsidRPr="005E3EA0" w:rsidRDefault="00AF346D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Work together with children and families to provide an effective program</w:t>
      </w:r>
    </w:p>
    <w:p w14:paraId="290DF62B" w14:textId="776D48BF" w:rsidR="005E3EA0" w:rsidRPr="005E3EA0" w:rsidRDefault="00AF346D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Design appropriate experiences based on an understanding of children’s developmental stages</w:t>
      </w:r>
    </w:p>
    <w:p w14:paraId="17A9A531" w14:textId="4F809C69" w:rsidR="005E3EA0" w:rsidRPr="005E3EA0" w:rsidRDefault="00AF346D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Design and implement weekly and daily scheduling for children that promote their well</w:t>
      </w:r>
      <w:r w:rsidR="009F00B5">
        <w:rPr>
          <w:rFonts w:ascii="Calibri" w:hAnsi="Calibri" w:cs="Segoe UI"/>
          <w:szCs w:val="22"/>
          <w:lang w:eastAsia="en-AU"/>
        </w:rPr>
        <w:t>being</w:t>
      </w:r>
    </w:p>
    <w:p w14:paraId="62330CE9" w14:textId="03CEF583" w:rsidR="005E3EA0" w:rsidRDefault="00AF346D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Implement a play curriculum for the children</w:t>
      </w:r>
    </w:p>
    <w:p w14:paraId="564A1628" w14:textId="557FAD93" w:rsidR="00AF346D" w:rsidRDefault="00AF346D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Evaluate and reflect on implemented experiences</w:t>
      </w:r>
    </w:p>
    <w:p w14:paraId="1BB2479A" w14:textId="2ACB3276" w:rsidR="00AF346D" w:rsidRDefault="00AF346D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Apply knowledge of importance of children’s musical abilities to support pedagogical practice</w:t>
      </w:r>
    </w:p>
    <w:p w14:paraId="67E6A6CE" w14:textId="20DF70DF" w:rsidR="00AF346D" w:rsidRDefault="00AF346D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>Plan and implement enjoyable routines that promote relationships with young children.</w:t>
      </w:r>
    </w:p>
    <w:p w14:paraId="5B8324C1" w14:textId="36F9D95A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59B4321C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 xml:space="preserve">Supervising </w:t>
      </w:r>
      <w:r w:rsidR="00AF346D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Mentors</w:t>
      </w: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 xml:space="preserve">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5211494B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="00AF346D">
        <w:rPr>
          <w:rFonts w:ascii="Calibri" w:hAnsi="Calibri" w:cs="Segoe UI"/>
          <w:szCs w:val="22"/>
          <w:lang w:eastAsia="en-AU"/>
        </w:rPr>
        <w:t>key indicators</w:t>
      </w:r>
      <w:r w:rsidRPr="005E3EA0">
        <w:rPr>
          <w:rFonts w:ascii="Calibri" w:hAnsi="Calibri" w:cs="Segoe UI"/>
          <w:szCs w:val="22"/>
          <w:lang w:eastAsia="en-AU"/>
        </w:rPr>
        <w:t xml:space="preserve">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58E8547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  </w:t>
      </w:r>
    </w:p>
    <w:p w14:paraId="0AD8278E" w14:textId="4D247FDD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Make professional judgements about the PST’s progress towards attainment of the</w:t>
      </w:r>
      <w:r w:rsidR="00AF346D">
        <w:rPr>
          <w:rFonts w:ascii="Calibri" w:hAnsi="Calibri" w:cs="Segoe UI"/>
          <w:szCs w:val="22"/>
          <w:lang w:eastAsia="en-AU"/>
        </w:rPr>
        <w:t xml:space="preserve"> indicators</w:t>
      </w:r>
      <w:r w:rsidRPr="005E3EA0">
        <w:rPr>
          <w:rFonts w:ascii="Calibri" w:hAnsi="Calibri" w:cs="Segoe UI"/>
          <w:szCs w:val="22"/>
          <w:lang w:eastAsia="en-AU"/>
        </w:rPr>
        <w:t xml:space="preserve">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A70357A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other </w:t>
      </w:r>
      <w:r w:rsidR="00AF346D">
        <w:rPr>
          <w:rFonts w:ascii="Calibri" w:eastAsia="DengXian" w:hAnsi="Calibri" w:cs="Segoe UI"/>
          <w:szCs w:val="22"/>
          <w:lang w:eastAsia="en-AU"/>
        </w:rPr>
        <w:t>early childhood</w:t>
      </w:r>
      <w:r w:rsidRPr="005E3EA0">
        <w:rPr>
          <w:rFonts w:ascii="Calibri" w:eastAsia="DengXian" w:hAnsi="Calibri" w:cs="Segoe UI"/>
          <w:szCs w:val="22"/>
          <w:lang w:eastAsia="en-AU"/>
        </w:rPr>
        <w:t xml:space="preserve">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EEFCD15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 xml:space="preserve">Placement Details and Context (Completed by PST with </w:t>
      </w:r>
      <w:r w:rsidR="007C4255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supervising</w:t>
      </w: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 teacher)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20"/>
      </w:tblGrid>
      <w:tr w:rsidR="005E3EA0" w:rsidRPr="005E3EA0" w14:paraId="7F769150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8A57144" w14:textId="1F1064A9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6465D" w:rsidRPr="005E3EA0" w14:paraId="68941563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586B7" w14:textId="3BC03A16" w:rsidR="0076465D" w:rsidRPr="005E3EA0" w:rsidRDefault="0076465D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Student ID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6DD513" w14:textId="25FE008A" w:rsidR="0076465D" w:rsidRPr="005E3EA0" w:rsidRDefault="0076465D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37D43D01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24E00341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</w:t>
            </w:r>
            <w:r w:rsidR="005E3EA0" w:rsidRPr="24E00341">
              <w:rPr>
                <w:rFonts w:ascii="DengXian" w:eastAsia="DengXian" w:hAnsi="DengXian" w:cs="Times New Roman"/>
                <w:sz w:val="20"/>
                <w:lang w:eastAsia="en-AU"/>
              </w:rPr>
              <w:t> </w:t>
            </w:r>
            <w:r w:rsidR="56687298" w:rsidRPr="24E00341">
              <w:rPr>
                <w:rFonts w:ascii="DengXian" w:eastAsia="DengXian" w:hAnsi="DengXian" w:cs="Times New Roman"/>
                <w:sz w:val="20"/>
                <w:lang w:eastAsia="en-AU"/>
              </w:rPr>
              <w:t xml:space="preserve"> University</w:t>
            </w:r>
          </w:p>
        </w:tc>
      </w:tr>
      <w:tr w:rsidR="005E3EA0" w:rsidRPr="005E3EA0" w14:paraId="17F92C0D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531103DE" w:rsidR="005E3EA0" w:rsidRPr="00864EB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64EB1">
              <w:rPr>
                <w:rFonts w:ascii="Calibri" w:hAnsi="Calibri" w:cs="Times New Roman"/>
                <w:sz w:val="20"/>
                <w:lang w:eastAsia="en-AU"/>
              </w:rPr>
              <w:t>Course (course name/code</w:t>
            </w:r>
            <w:r w:rsidR="0076465D">
              <w:rPr>
                <w:rFonts w:ascii="Calibri" w:hAnsi="Calibri" w:cs="Times New Roman"/>
                <w:sz w:val="20"/>
                <w:lang w:eastAsia="en-AU"/>
              </w:rPr>
              <w:t>)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60BA657" w14:textId="25AD92DD" w:rsidR="005E3EA0" w:rsidRPr="005E3EA0" w:rsidRDefault="00AF346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TCHE2634 – Developing and Caring for Early Learners </w:t>
            </w:r>
          </w:p>
        </w:tc>
      </w:tr>
      <w:tr w:rsidR="005E3EA0" w:rsidRPr="005E3EA0" w14:paraId="282BB43B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5E3EA0" w:rsidRPr="00D76AD5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AU"/>
              </w:rPr>
            </w:pPr>
            <w:r w:rsidRPr="00D76AD5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D76AD5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D76AD5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09869720" w:rsidR="005E3EA0" w:rsidRPr="00D76AD5" w:rsidRDefault="00AF346D" w:rsidP="005E3EA0">
            <w:pPr>
              <w:textAlignment w:val="baseline"/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</w:pPr>
            <w:r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  <w:t>2</w:t>
            </w:r>
            <w:r w:rsidRPr="00AF346D">
              <w:rPr>
                <w:rFonts w:asciiTheme="majorHAnsi" w:hAnsiTheme="majorHAnsi" w:cstheme="majorHAnsi"/>
                <w:sz w:val="20"/>
                <w:highlight w:val="lightGray"/>
                <w:vertAlign w:val="superscript"/>
                <w:lang w:eastAsia="en-AU"/>
              </w:rPr>
              <w:t>nd</w:t>
            </w:r>
            <w:r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  <w:t xml:space="preserve"> </w:t>
            </w:r>
            <w:r w:rsidR="00D76AD5" w:rsidRPr="00D76AD5"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  <w:t xml:space="preserve">Year - </w:t>
            </w:r>
            <w:r w:rsidR="00864EB1" w:rsidRPr="00D76AD5"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  <w:t xml:space="preserve">Novice </w:t>
            </w:r>
          </w:p>
        </w:tc>
      </w:tr>
      <w:tr w:rsidR="005E3EA0" w:rsidRPr="005E3EA0" w14:paraId="65B97141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5FE4D7AE" w:rsidR="005E3EA0" w:rsidRPr="00864EB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64EB1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27C94110" w:rsidR="005E3EA0" w:rsidRPr="00E516E4" w:rsidRDefault="00864EB1" w:rsidP="005E3EA0">
            <w:pPr>
              <w:textAlignment w:val="baseline"/>
              <w:rPr>
                <w:rFonts w:asciiTheme="minorHAnsi" w:hAnsiTheme="minorHAnsi" w:cstheme="minorHAnsi"/>
                <w:sz w:val="20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  <w:r w:rsidR="00815252" w:rsidRPr="00E516E4">
              <w:rPr>
                <w:rStyle w:val="normaltextrun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___/___/___ to ___/___/___</w:t>
            </w:r>
            <w:r w:rsidR="00815252" w:rsidRPr="00E516E4">
              <w:rPr>
                <w:rStyle w:val="eop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 </w:t>
            </w:r>
            <w:r w:rsidRPr="00E516E4">
              <w:rPr>
                <w:rFonts w:asciiTheme="minorHAnsi" w:hAnsiTheme="minorHAnsi" w:cstheme="minorHAnsi"/>
                <w:sz w:val="20"/>
                <w:lang w:eastAsia="en-AU"/>
              </w:rPr>
              <w:t xml:space="preserve">  </w:t>
            </w:r>
          </w:p>
        </w:tc>
      </w:tr>
      <w:tr w:rsidR="00815252" w:rsidRPr="005E3EA0" w14:paraId="4D38CCB9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31E6401" w14:textId="3C772AE4" w:rsidR="00815252" w:rsidRPr="00864EB1" w:rsidRDefault="00815252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864EB1">
              <w:rPr>
                <w:rFonts w:ascii="Calibri" w:hAnsi="Calibri" w:cs="Times New Roman"/>
                <w:sz w:val="20"/>
                <w:lang w:eastAsia="en-AU"/>
              </w:rPr>
              <w:t>umber of days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FEF5FBD" w14:textId="4284EA98" w:rsidR="00815252" w:rsidRDefault="0081525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 </w:t>
            </w:r>
            <w:r w:rsidRPr="00864EB1">
              <w:rPr>
                <w:rFonts w:asciiTheme="majorHAnsi" w:hAnsiTheme="majorHAnsi" w:cstheme="majorHAnsi"/>
                <w:sz w:val="20"/>
                <w:lang w:eastAsia="en-AU"/>
              </w:rPr>
              <w:t xml:space="preserve">      /</w:t>
            </w:r>
            <w:r w:rsidR="00DE50F1">
              <w:rPr>
                <w:rFonts w:asciiTheme="majorHAnsi" w:hAnsiTheme="majorHAnsi" w:cstheme="majorHAnsi"/>
                <w:sz w:val="20"/>
                <w:lang w:eastAsia="en-AU"/>
              </w:rPr>
              <w:t>10</w:t>
            </w:r>
          </w:p>
        </w:tc>
      </w:tr>
      <w:tr w:rsidR="005E3EA0" w:rsidRPr="005E3EA0" w14:paraId="59BBA71C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2D49337C" w:rsidR="005E3EA0" w:rsidRPr="005E3EA0" w:rsidRDefault="00AF346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Early Childhood Setting</w:t>
            </w:r>
            <w:r w:rsidR="005E3EA0" w:rsidRPr="005E3EA0">
              <w:rPr>
                <w:rFonts w:ascii="Calibri" w:hAnsi="Calibri" w:cs="Times New Roman"/>
                <w:sz w:val="20"/>
                <w:lang w:eastAsia="en-AU"/>
              </w:rPr>
              <w:t xml:space="preserve"> 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F02EBE4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51568470" w:rsidR="005E3EA0" w:rsidRPr="005E3EA0" w:rsidRDefault="007C4255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Supervising</w:t>
            </w:r>
            <w:r w:rsidR="005E3EA0" w:rsidRPr="005E3EA0">
              <w:rPr>
                <w:rFonts w:ascii="Calibri" w:hAnsi="Calibri" w:cs="Times New Roman"/>
                <w:sz w:val="20"/>
                <w:lang w:eastAsia="en-AU"/>
              </w:rPr>
              <w:t xml:space="preserve"> Teacher’s name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5CBF7971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4A1CBCE0" w:rsidR="005E3EA0" w:rsidRPr="005E3EA0" w:rsidRDefault="007C4255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Supervising</w:t>
            </w:r>
            <w:r w:rsidR="005E3EA0" w:rsidRPr="005E3EA0">
              <w:rPr>
                <w:rFonts w:ascii="Calibri" w:hAnsi="Calibri" w:cs="Times New Roman"/>
                <w:sz w:val="20"/>
                <w:lang w:eastAsia="en-AU"/>
              </w:rPr>
              <w:t xml:space="preserve"> Teacher’s contact details (email and phone number)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1691A2BE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662C8C6E" w:rsidR="005E3EA0" w:rsidRPr="005E3EA0" w:rsidRDefault="00AF346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Age range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6C093A1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55A986ED" w:rsidR="005E3EA0" w:rsidRPr="005E3EA0" w:rsidRDefault="00AF346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Early Childhood Centre</w:t>
            </w:r>
            <w:r w:rsidR="001A3F72">
              <w:rPr>
                <w:rFonts w:ascii="Calibri" w:hAnsi="Calibri" w:cs="Times New Roman"/>
                <w:sz w:val="20"/>
                <w:lang w:eastAsia="en-AU"/>
              </w:rPr>
              <w:t xml:space="preserve"> Contact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1E4F600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Assessment Ratings Scale for </w:t>
      </w:r>
      <w:r w:rsidR="00AF346D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Key Indicators</w:t>
      </w: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 </w:t>
      </w:r>
    </w:p>
    <w:p w14:paraId="1547DB4B" w14:textId="6E0867FB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Supervising teachers should apply professional judgements using evidence of the PST’s demonstrated knowledge, practice, and engagement in relation to the expected </w:t>
      </w:r>
      <w:r w:rsidR="009F00B5">
        <w:rPr>
          <w:rFonts w:ascii="Calibri" w:hAnsi="Calibri" w:cs="Segoe UI"/>
          <w:szCs w:val="22"/>
          <w:lang w:eastAsia="en-AU"/>
        </w:rPr>
        <w:t>Key Indicators (DI)</w:t>
      </w:r>
      <w:r w:rsidRPr="005E3EA0">
        <w:rPr>
          <w:rFonts w:ascii="Calibri" w:hAnsi="Calibri" w:cs="Segoe UI"/>
          <w:szCs w:val="22"/>
          <w:lang w:eastAsia="en-AU"/>
        </w:rPr>
        <w:t xml:space="preserve"> for the stage. </w:t>
      </w:r>
    </w:p>
    <w:p w14:paraId="00B49348" w14:textId="1749AA65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Consideration should be given for the placement context and opportunities to encounter relevant experiences enabling the PST to demonstrate the </w:t>
      </w:r>
      <w:r w:rsidR="009F00B5">
        <w:rPr>
          <w:rFonts w:ascii="Calibri" w:hAnsi="Calibri" w:cs="Segoe UI"/>
          <w:szCs w:val="22"/>
          <w:lang w:eastAsia="en-AU"/>
        </w:rPr>
        <w:t>KI</w:t>
      </w:r>
      <w:r w:rsidRPr="005E3EA0">
        <w:rPr>
          <w:rFonts w:ascii="Calibri" w:hAnsi="Calibri" w:cs="Segoe UI"/>
          <w:szCs w:val="22"/>
          <w:lang w:eastAsia="en-AU"/>
        </w:rPr>
        <w:t>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4881CEB6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1E6F015C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 xml:space="preserve">Assessment Scale for </w:t>
            </w:r>
            <w:r w:rsidR="00C310C9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Key Indicators</w:t>
            </w: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52BEFB54" w:rsidR="005E3EA0" w:rsidRPr="005E3EA0" w:rsidRDefault="4881CEB6" w:rsidP="4881CEB6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4881CEB6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7646E99B" w:rsidR="005E3EA0" w:rsidRPr="005E3EA0" w:rsidRDefault="00AF346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KI</w:t>
            </w:r>
            <w:r w:rsidR="001A3F72" w:rsidRPr="4881CEB6">
              <w:rPr>
                <w:rFonts w:ascii="Calibri" w:hAnsi="Calibri" w:cs="Times New Roman"/>
                <w:sz w:val="20"/>
                <w:lang w:eastAsia="en-AU"/>
              </w:rPr>
              <w:t xml:space="preserve"> descriptor has been exceeded</w:t>
            </w:r>
          </w:p>
        </w:tc>
      </w:tr>
      <w:tr w:rsidR="005E3EA0" w:rsidRPr="005E3EA0" w14:paraId="736B9E28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705CEDAB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4881CEB6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5EC5ECA6" w:rsidR="005E3EA0" w:rsidRPr="005E3EA0" w:rsidRDefault="00AF346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KI</w:t>
            </w:r>
            <w:r w:rsidR="001A3F72" w:rsidRPr="4881CEB6">
              <w:rPr>
                <w:rFonts w:ascii="Calibri" w:hAnsi="Calibri" w:cs="Times New Roman"/>
                <w:sz w:val="20"/>
                <w:lang w:eastAsia="en-AU"/>
              </w:rPr>
              <w:t xml:space="preserve"> descriptor has been met </w:t>
            </w:r>
          </w:p>
        </w:tc>
      </w:tr>
      <w:tr w:rsidR="005E3EA0" w:rsidRPr="005E3EA0" w14:paraId="5D1DDC09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676F034A" w:rsidR="005E3EA0" w:rsidRPr="005E3EA0" w:rsidRDefault="00AF346D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KI</w:t>
            </w:r>
            <w:r w:rsidR="005E3EA0" w:rsidRPr="005E3EA0">
              <w:rPr>
                <w:rFonts w:ascii="Calibri" w:hAnsi="Calibri" w:cs="Times New Roman"/>
                <w:sz w:val="20"/>
                <w:lang w:eastAsia="en-AU"/>
              </w:rPr>
              <w:t xml:space="preserve"> descriptor has not been met </w:t>
            </w:r>
          </w:p>
        </w:tc>
      </w:tr>
      <w:tr w:rsidR="005E3EA0" w:rsidRPr="005E3EA0" w14:paraId="69D90FB1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2BFABC69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No opportunity to meet the </w:t>
            </w:r>
            <w:r w:rsidR="00AF346D">
              <w:rPr>
                <w:rFonts w:ascii="Calibri" w:hAnsi="Calibri" w:cs="Times New Roman"/>
                <w:sz w:val="20"/>
                <w:lang w:eastAsia="en-AU"/>
              </w:rPr>
              <w:t>KI</w:t>
            </w:r>
          </w:p>
        </w:tc>
      </w:tr>
    </w:tbl>
    <w:p w14:paraId="2FAAE633" w14:textId="2C25806B" w:rsidR="005E3EA0" w:rsidRPr="0076465D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4A4E027A" w14:textId="44D22DB8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1: </w:t>
      </w:r>
      <w:r w:rsidR="00C310C9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Work </w:t>
      </w:r>
      <w:r w:rsidR="0097743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e</w:t>
      </w:r>
      <w:r w:rsidR="00C310C9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ffectively with </w:t>
      </w:r>
      <w:r w:rsidR="0097743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c</w:t>
      </w:r>
      <w:r w:rsidR="00C310C9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hildren</w:t>
      </w: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 </w:t>
      </w:r>
    </w:p>
    <w:tbl>
      <w:tblPr>
        <w:tblW w:w="9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408"/>
        <w:gridCol w:w="408"/>
        <w:gridCol w:w="542"/>
        <w:gridCol w:w="506"/>
      </w:tblGrid>
      <w:tr w:rsidR="00C310C9" w:rsidRPr="005E3EA0" w14:paraId="7722515D" w14:textId="77777777" w:rsidTr="00C310C9">
        <w:tc>
          <w:tcPr>
            <w:tcW w:w="7234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1EAC2ED3" w:rsidR="00C310C9" w:rsidRPr="005E3EA0" w:rsidRDefault="00C310C9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Key </w:t>
            </w:r>
            <w:r w:rsidR="00977434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Indicators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3CBD4694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4D887724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0F107D87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1FDC7601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C310C9" w:rsidRPr="005E3EA0" w14:paraId="175F540C" w14:textId="77777777" w:rsidTr="00C310C9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B5256B" w14:textId="77777777" w:rsidR="00C310C9" w:rsidRDefault="00C310C9" w:rsidP="005E3EA0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Forms effective relationships with children in their care</w:t>
            </w:r>
          </w:p>
          <w:p w14:paraId="7A986321" w14:textId="1AE4704E" w:rsidR="00C310C9" w:rsidRPr="005E3EA0" w:rsidRDefault="00C310C9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02380" w14:textId="5265C259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EAEEE" w14:textId="21E47ABD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9BA99" w14:textId="55456AA4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86D20" w14:textId="63190871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10C9" w:rsidRPr="005E3EA0" w14:paraId="638AA060" w14:textId="77777777" w:rsidTr="00C310C9"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F2807BB" w14:textId="20300F31" w:rsidR="00C310C9" w:rsidRPr="005E3EA0" w:rsidRDefault="00C310C9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Uses appropriate language and body language to communicate with children in each development stage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24DDAE5E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466979D0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57730D48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3D1727F" w:rsidR="00C310C9" w:rsidRPr="005E3EA0" w:rsidRDefault="00C310C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10C9" w:rsidRPr="005E3EA0" w14:paraId="2D567045" w14:textId="77777777" w:rsidTr="00C310C9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18171" w14:textId="77777777" w:rsidR="00C310C9" w:rsidRDefault="00C310C9" w:rsidP="00C310C9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C310C9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36489E0F" w14:textId="77777777" w:rsidR="00C310C9" w:rsidRDefault="00C310C9" w:rsidP="00C310C9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</w:p>
          <w:p w14:paraId="7D135E70" w14:textId="77777777" w:rsidR="00C310C9" w:rsidRDefault="00C310C9" w:rsidP="00C310C9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</w:p>
          <w:p w14:paraId="4CE153E4" w14:textId="2926CA21" w:rsidR="00C310C9" w:rsidRPr="00C310C9" w:rsidRDefault="00C310C9" w:rsidP="00C310C9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B45AC" w14:textId="45226F31" w:rsidR="00C310C9" w:rsidRPr="005E3EA0" w:rsidRDefault="00C310C9" w:rsidP="005324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CA7BC" w14:textId="55108AC8" w:rsidR="00C310C9" w:rsidRPr="005E3EA0" w:rsidRDefault="00C310C9" w:rsidP="005324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9F60" w14:textId="76A90EA4" w:rsidR="00C310C9" w:rsidRPr="005E3EA0" w:rsidRDefault="00C310C9" w:rsidP="005324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1C09" w14:textId="4EA3B0AC" w:rsidR="00C310C9" w:rsidRPr="005E3EA0" w:rsidRDefault="00C310C9" w:rsidP="005324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310C9" w:rsidRPr="005E3EA0" w14:paraId="777DE598" w14:textId="77777777" w:rsidTr="00C310C9">
        <w:tc>
          <w:tcPr>
            <w:tcW w:w="7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EBF23D" w14:textId="77777777" w:rsidR="00C310C9" w:rsidRDefault="00C310C9" w:rsidP="005324CF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03A6" w14:textId="77777777" w:rsidR="00C310C9" w:rsidRPr="005E3EA0" w:rsidRDefault="00C310C9" w:rsidP="005324CF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C9F2" w14:textId="77777777" w:rsidR="00C310C9" w:rsidRPr="005E3EA0" w:rsidRDefault="00C310C9" w:rsidP="005324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5687" w14:textId="77777777" w:rsidR="00C310C9" w:rsidRPr="005E3EA0" w:rsidRDefault="00C310C9" w:rsidP="005324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5E91" w14:textId="77777777" w:rsidR="00C310C9" w:rsidRPr="005E3EA0" w:rsidRDefault="00C310C9" w:rsidP="005324C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45AB1D26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</w:t>
      </w:r>
      <w:r w:rsidR="0097743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 Work together with children and families to provide an effective program</w:t>
      </w:r>
    </w:p>
    <w:tbl>
      <w:tblPr>
        <w:tblW w:w="9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407"/>
        <w:gridCol w:w="407"/>
        <w:gridCol w:w="538"/>
        <w:gridCol w:w="504"/>
      </w:tblGrid>
      <w:tr w:rsidR="00977434" w:rsidRPr="005E3EA0" w14:paraId="21464F85" w14:textId="77777777" w:rsidTr="00977434">
        <w:tc>
          <w:tcPr>
            <w:tcW w:w="7247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977434" w:rsidRPr="005E3EA0" w:rsidRDefault="00977434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04399A7A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4F0A40B8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57503C95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420BA190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977434" w:rsidRPr="005E3EA0" w14:paraId="25EF6105" w14:textId="77777777" w:rsidTr="00977434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46A357" w14:textId="11C3327B" w:rsidR="00977434" w:rsidRPr="005E3EA0" w:rsidRDefault="00977434" w:rsidP="004E4D0C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Communicates with children and their families in an open manner in agreement with centre policy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5FFE2" w14:textId="2EB85523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66356" w14:textId="70A6DFC7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D92BE" w14:textId="4CE3BABF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334DB" w14:textId="57800920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77434" w:rsidRPr="005E3EA0" w14:paraId="6FF8E284" w14:textId="77777777" w:rsidTr="00977434"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2EA60E" w14:textId="00D6D922" w:rsidR="00977434" w:rsidRPr="005E3EA0" w:rsidRDefault="00977434" w:rsidP="004E4D0C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Demonstrates an awareness of children’s social and emotional needs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D557B2" w14:textId="77777777" w:rsidR="00977434" w:rsidRDefault="00977434" w:rsidP="004E4D0C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</w:p>
          <w:p w14:paraId="488223BD" w14:textId="77777777" w:rsidR="00977434" w:rsidRPr="005E3EA0" w:rsidRDefault="00977434" w:rsidP="004E4D0C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A1D3C4" w14:textId="77777777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45D255" w14:textId="77777777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A2CF56" w14:textId="77777777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77434" w:rsidRPr="005E3EA0" w14:paraId="3D56E1F8" w14:textId="77777777" w:rsidTr="00977434"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4EFA4" w14:textId="77777777" w:rsidR="00977434" w:rsidRDefault="00977434" w:rsidP="0097743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C310C9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33D223FD" w14:textId="77777777" w:rsidR="00977434" w:rsidRDefault="00977434" w:rsidP="0097743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</w:p>
          <w:p w14:paraId="794919B1" w14:textId="77777777" w:rsidR="00977434" w:rsidRPr="005E3EA0" w:rsidRDefault="00977434" w:rsidP="004E4D0C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1FC249" w14:textId="77777777" w:rsidR="00977434" w:rsidRPr="005E3EA0" w:rsidRDefault="00977434" w:rsidP="004E4D0C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D38BF" w14:textId="77777777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26C323" w14:textId="77777777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9080E" w14:textId="77777777" w:rsidR="00977434" w:rsidRPr="005E3EA0" w:rsidRDefault="00977434" w:rsidP="004E4D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45D0DE7A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3: </w:t>
      </w:r>
      <w:r w:rsidR="0097743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Design appropriate experiences based on an understanding of children’s developmental stages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408"/>
        <w:gridCol w:w="408"/>
        <w:gridCol w:w="540"/>
        <w:gridCol w:w="507"/>
      </w:tblGrid>
      <w:tr w:rsidR="00977434" w:rsidRPr="005E3EA0" w14:paraId="158A47BA" w14:textId="77777777" w:rsidTr="00977434">
        <w:tc>
          <w:tcPr>
            <w:tcW w:w="7229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79F3397E" w14:textId="77777777" w:rsidR="00977434" w:rsidRPr="005E3EA0" w:rsidRDefault="00977434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688978" w14:textId="4B387794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6E7EA4" w14:textId="34374D8A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FD0CF9" w14:textId="34DFD6F4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E767EA" w14:textId="3C6CD7D2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977434" w:rsidRPr="005E3EA0" w14:paraId="1465CF23" w14:textId="77777777" w:rsidTr="00977434"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C71F55E" w14:textId="23DFF0F7" w:rsidR="00977434" w:rsidRPr="005E3EA0" w:rsidRDefault="00977434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Evidence of theoretical knowledge underpinning development observations, </w:t>
            </w:r>
            <w:r w:rsidR="009F00B5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interpretations,</w:t>
            </w: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design of experiences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BE5556" w14:textId="268D2BA9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BDCB1B7" w14:textId="10D0C711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C9A7B6B" w14:textId="34719465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D7D8BB7" w14:textId="0456A988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77434" w:rsidRPr="005E3EA0" w14:paraId="74512F1C" w14:textId="77777777" w:rsidTr="009774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A81D4" w14:textId="77777777" w:rsidR="00977434" w:rsidRDefault="00977434" w:rsidP="0097743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97743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0329CCCD" w14:textId="77777777" w:rsidR="00977434" w:rsidRDefault="00977434" w:rsidP="0097743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</w:p>
          <w:p w14:paraId="2340BEFB" w14:textId="77777777" w:rsidR="00977434" w:rsidRDefault="00977434" w:rsidP="00977434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</w:p>
          <w:p w14:paraId="1F94A483" w14:textId="47A32C1D" w:rsidR="00977434" w:rsidRPr="00977434" w:rsidRDefault="00977434" w:rsidP="00977434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A49B47" w14:textId="34BBEF73" w:rsidR="00977434" w:rsidRPr="005E3EA0" w:rsidRDefault="00977434" w:rsidP="007308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5AAC5" w14:textId="28DDD6A3" w:rsidR="00977434" w:rsidRPr="005E3EA0" w:rsidRDefault="00977434" w:rsidP="007308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4EEFB" w14:textId="617FE61B" w:rsidR="00977434" w:rsidRPr="005E3EA0" w:rsidRDefault="00977434" w:rsidP="007308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0DB7D" w14:textId="02AB912C" w:rsidR="00977434" w:rsidRPr="005E3EA0" w:rsidRDefault="00977434" w:rsidP="0073080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1D5FE63B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 xml:space="preserve">Section 4: </w:t>
      </w:r>
      <w:r w:rsidR="0097743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Design and implement weekly and daily scheduling for children that promote their wellbeing</w:t>
      </w:r>
    </w:p>
    <w:tbl>
      <w:tblPr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407"/>
        <w:gridCol w:w="407"/>
        <w:gridCol w:w="538"/>
        <w:gridCol w:w="504"/>
      </w:tblGrid>
      <w:tr w:rsidR="00977434" w:rsidRPr="005E3EA0" w14:paraId="6D03DB83" w14:textId="77777777" w:rsidTr="00977434">
        <w:tc>
          <w:tcPr>
            <w:tcW w:w="7246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36A05693" w:rsidR="00977434" w:rsidRPr="005E3EA0" w:rsidRDefault="00977434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5087360A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69A396D5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4212FE04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53C4A337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977434" w:rsidRPr="005E3EA0" w14:paraId="63D0F4A4" w14:textId="77777777" w:rsidTr="00977434"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2D6561F" w14:textId="7D7BFB7C" w:rsidR="00977434" w:rsidRPr="005E3EA0" w:rsidRDefault="00977434" w:rsidP="0054642B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Plans for children’s needs by listening to children needs based on noticing, recognising and responding to children’s learning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5A7A19" w14:textId="23599812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0AD425" w14:textId="3F2B9D31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A7958B8" w14:textId="073A328D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C4D7D69" w14:textId="5EB20537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77434" w:rsidRPr="005E3EA0" w14:paraId="0DA39E4F" w14:textId="77777777" w:rsidTr="00977434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BF0A" w14:textId="77777777" w:rsidR="00977434" w:rsidRDefault="00977434" w:rsidP="0097743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97743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6B851D6B" w14:textId="77777777" w:rsidR="00977434" w:rsidRDefault="00977434" w:rsidP="0097743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</w:p>
          <w:p w14:paraId="59902CA8" w14:textId="77777777" w:rsidR="00977434" w:rsidRDefault="00977434" w:rsidP="0054642B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E2172" w14:textId="77777777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5C1EB" w14:textId="77777777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D345B" w14:textId="77777777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E54B0" w14:textId="77777777" w:rsidR="00977434" w:rsidRPr="005E3EA0" w:rsidRDefault="00977434" w:rsidP="00546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57C3F63" w14:textId="53746943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21E3A0FF" w14:textId="77777777" w:rsidR="00D46FDB" w:rsidRDefault="00D46FDB" w:rsidP="005E3EA0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14:paraId="4A989D4B" w14:textId="7B16A286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5: </w:t>
      </w:r>
      <w:r w:rsidR="0097743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Implement a play curriculum for the children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407"/>
        <w:gridCol w:w="407"/>
        <w:gridCol w:w="537"/>
        <w:gridCol w:w="504"/>
      </w:tblGrid>
      <w:tr w:rsidR="00977434" w:rsidRPr="005E3EA0" w14:paraId="6D9AC56D" w14:textId="77777777" w:rsidTr="00977434">
        <w:tc>
          <w:tcPr>
            <w:tcW w:w="724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977434" w:rsidRPr="005E3EA0" w:rsidRDefault="00977434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35241E3B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0F97C01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46D70638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132B964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977434" w:rsidRPr="005E3EA0" w14:paraId="4E2BC6D8" w14:textId="77777777" w:rsidTr="00977434"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FF29194" w14:textId="75658DFA" w:rsidR="00977434" w:rsidRPr="005E3EA0" w:rsidRDefault="00977434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Produces a range of ideas to incorporate play into the current learning environment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94AAC4A" w14:textId="2E1B9EC3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0C06827" w14:textId="74A65DDA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0686EC5" w14:textId="2D6B6B2F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16E43CD" w14:textId="0CFBAEA3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77434" w:rsidRPr="005E3EA0" w14:paraId="59C49469" w14:textId="77777777" w:rsidTr="0097743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C318B" w14:textId="77777777" w:rsidR="00977434" w:rsidRDefault="00977434" w:rsidP="0097743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97743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00782F3A" w14:textId="551B453E" w:rsidR="00977434" w:rsidRPr="005E3EA0" w:rsidRDefault="00977434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1E8DA" w14:textId="77777777" w:rsidR="00977434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45A90BA1" w14:textId="77777777" w:rsidR="00977434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4B1F2CE4" w14:textId="2E675E69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06C7" w14:textId="4E9DA8A7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B74A" w14:textId="115BE597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7828" w14:textId="0D8379F2" w:rsidR="00977434" w:rsidRPr="005E3EA0" w:rsidRDefault="00977434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09BC91A" w14:textId="3CB07AB0" w:rsidR="007C4255" w:rsidRPr="005E5744" w:rsidRDefault="007C4255" w:rsidP="007C4255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</w:t>
      </w:r>
      <w: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6</w:t>
      </w: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: </w:t>
      </w:r>
      <w: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Evaluate and reflect on implemented experiences</w:t>
      </w:r>
    </w:p>
    <w:tbl>
      <w:tblPr>
        <w:tblW w:w="9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407"/>
        <w:gridCol w:w="407"/>
        <w:gridCol w:w="537"/>
        <w:gridCol w:w="504"/>
      </w:tblGrid>
      <w:tr w:rsidR="007C4255" w:rsidRPr="005E3EA0" w14:paraId="570DF3EF" w14:textId="77777777" w:rsidTr="005444A4">
        <w:tc>
          <w:tcPr>
            <w:tcW w:w="724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137E9B14" w14:textId="77777777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B0FFD51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F760F54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F36C994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3E01838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7C4255" w:rsidRPr="005E3EA0" w14:paraId="7232BE33" w14:textId="77777777" w:rsidTr="005444A4"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D53FEA0" w14:textId="6741DF7C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Evidence of thoughtful reflection and evaluation on dialogue, linking to theoretical understanding when appropriate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A5C220F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935C70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F4DF700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098B52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255" w:rsidRPr="005E3EA0" w14:paraId="3F7A96B4" w14:textId="77777777" w:rsidTr="005444A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79CA5" w14:textId="77777777" w:rsidR="007C4255" w:rsidRDefault="007C4255" w:rsidP="005444A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97743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383A0141" w14:textId="77777777" w:rsidR="007C4255" w:rsidRDefault="007C4255" w:rsidP="005444A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</w:p>
          <w:p w14:paraId="031EE22A" w14:textId="77777777" w:rsidR="007C4255" w:rsidRDefault="007C4255" w:rsidP="005444A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</w:p>
          <w:p w14:paraId="620131FE" w14:textId="77777777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7C51F" w14:textId="77777777" w:rsidR="007C4255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70822D05" w14:textId="77777777" w:rsidR="007C4255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4D061532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80D15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CA61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A682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5FAC672" w14:textId="77777777" w:rsidR="007C4255" w:rsidRDefault="007C4255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75CB0179" w14:textId="4D358BFE" w:rsidR="007C4255" w:rsidRPr="005E5744" w:rsidRDefault="007C4255" w:rsidP="007C4255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</w:t>
      </w:r>
      <w: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7</w:t>
      </w: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: </w:t>
      </w:r>
      <w: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Apply knowledge of importance of children’s musical abilities to support pedagogical practice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407"/>
        <w:gridCol w:w="407"/>
        <w:gridCol w:w="537"/>
        <w:gridCol w:w="504"/>
      </w:tblGrid>
      <w:tr w:rsidR="007C4255" w:rsidRPr="005E3EA0" w14:paraId="05E6D025" w14:textId="77777777" w:rsidTr="005444A4">
        <w:tc>
          <w:tcPr>
            <w:tcW w:w="724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080476B2" w14:textId="77777777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E4A4855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2C5AB29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4442C46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6632DF4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7C4255" w:rsidRPr="005E3EA0" w14:paraId="503AE5CB" w14:textId="77777777" w:rsidTr="005444A4"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2CBE181" w14:textId="565AAAEC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Design age and level appropriate musical activities</w:t>
            </w: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296BEF8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291746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F6EA77A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1BE55D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255" w:rsidRPr="005E3EA0" w14:paraId="5442F779" w14:textId="77777777" w:rsidTr="005444A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E81BF" w14:textId="77777777" w:rsidR="007C4255" w:rsidRDefault="007C4255" w:rsidP="005444A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97743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3C1476E5" w14:textId="77777777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22086E" w14:textId="77777777" w:rsidR="007C4255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4CAA4A9D" w14:textId="77777777" w:rsidR="007C4255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3BFD3D2E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E6DF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FF0E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BAA5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2CEE244" w14:textId="77777777" w:rsidR="007C4255" w:rsidRDefault="007C4255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0212137F" w14:textId="2CC02B17" w:rsidR="007C4255" w:rsidRPr="005E5744" w:rsidRDefault="007C4255" w:rsidP="007C4255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</w:t>
      </w:r>
      <w: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8</w:t>
      </w: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: </w:t>
      </w:r>
      <w: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Plan and implement enjoyable routines that promote relationships with young children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407"/>
        <w:gridCol w:w="407"/>
        <w:gridCol w:w="537"/>
        <w:gridCol w:w="504"/>
      </w:tblGrid>
      <w:tr w:rsidR="007C4255" w:rsidRPr="005E3EA0" w14:paraId="6545C857" w14:textId="77777777" w:rsidTr="005444A4">
        <w:tc>
          <w:tcPr>
            <w:tcW w:w="724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0A82B174" w14:textId="77777777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2DE591A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0D207D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DA4351A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F95EA2E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7C4255" w:rsidRPr="005E3EA0" w14:paraId="6A2AB8FC" w14:textId="77777777" w:rsidTr="005444A4"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23A585" w14:textId="15C48610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Able to interact effectively during necessary routine events.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91B915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4762555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830B64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558C92D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4255" w:rsidRPr="005E3EA0" w14:paraId="2C2188DE" w14:textId="77777777" w:rsidTr="005444A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77C49" w14:textId="77777777" w:rsidR="007C4255" w:rsidRDefault="007C4255" w:rsidP="005444A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0097743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Supporting Comments: </w:t>
            </w:r>
          </w:p>
          <w:p w14:paraId="2E379CBD" w14:textId="77777777" w:rsidR="007C4255" w:rsidRPr="005E3EA0" w:rsidRDefault="007C4255" w:rsidP="005444A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84DC8C" w14:textId="77777777" w:rsidR="007C4255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520DB130" w14:textId="77777777" w:rsidR="007C4255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14:paraId="72535F78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2610E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FD46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E4033" w14:textId="77777777" w:rsidR="007C4255" w:rsidRPr="005E3EA0" w:rsidRDefault="007C4255" w:rsidP="005444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3AE557A" w14:textId="77777777" w:rsidR="007C4255" w:rsidRDefault="007C4255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3E201AFA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</w:t>
      </w:r>
      <w:r w:rsidR="007C4255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9</w:t>
      </w: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3A885303" w14:textId="04FD68A5" w:rsidR="005E3EA0" w:rsidRPr="0076465D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  </w:t>
      </w:r>
    </w:p>
    <w:p w14:paraId="08A4302D" w14:textId="66B43E62" w:rsidR="0076465D" w:rsidRPr="005E3EA0" w:rsidRDefault="0076465D" w:rsidP="0076465D">
      <w:pPr>
        <w:ind w:left="72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0" w:name="_Hlk119398467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  / NO </w:t>
      </w:r>
      <w:r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</w:p>
    <w:bookmarkEnd w:id="0"/>
    <w:p w14:paraId="7EC33C6C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</w:p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19BCDAB0" w:rsidR="005E3EA0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 xml:space="preserve">Section </w:t>
      </w:r>
      <w:r w:rsidR="007C4255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10</w:t>
      </w: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: Final Assessment Result </w:t>
      </w:r>
    </w:p>
    <w:p w14:paraId="15E4A026" w14:textId="7EE081E8" w:rsidR="0076465D" w:rsidRDefault="0076465D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14:paraId="2CDABD67" w14:textId="77777777" w:rsidR="0076465D" w:rsidRPr="005E5744" w:rsidRDefault="0076465D" w:rsidP="0076465D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76465D" w:rsidRPr="005E3EA0" w14:paraId="5D5AC613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EA0DCC0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C41A4C3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6465D" w:rsidRPr="005E3EA0" w14:paraId="6A7BB1F5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E6D9CB1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E2131AE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76465D" w:rsidRPr="005E3EA0" w14:paraId="24772FF5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666E45D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4538DE3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76465D" w:rsidRPr="005E3EA0" w14:paraId="3112B2D6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B779277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53A8526" w14:textId="77777777" w:rsidR="0076465D" w:rsidRPr="005E3EA0" w:rsidRDefault="0076465D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05E492A7" w14:textId="77777777" w:rsidR="0076465D" w:rsidRPr="001A3F72" w:rsidRDefault="0076465D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14:paraId="3A0DF500" w14:textId="77777777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3E225336" w14:textId="77777777" w:rsidR="0076465D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76465D" w:rsidRPr="0076465D" w14:paraId="1C523FD0" w14:textId="77777777" w:rsidTr="0076465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2319" w14:textId="77777777" w:rsidR="0076465D" w:rsidRPr="0076465D" w:rsidRDefault="0076465D" w:rsidP="0076465D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AU"/>
              </w:rPr>
            </w:pPr>
            <w:bookmarkStart w:id="1" w:name="_Hlk119397283"/>
            <w:r w:rsidRPr="0076465D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Reflection on placement by the preservice teacher </w:t>
            </w:r>
            <w:r w:rsidRPr="0076465D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76465D" w:rsidRPr="0076465D" w14:paraId="5CA5CF9D" w14:textId="77777777" w:rsidTr="0076465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A66DE37" w14:textId="35FCA032" w:rsidR="0076465D" w:rsidRPr="0076465D" w:rsidRDefault="0076465D" w:rsidP="0076465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Calibri" w:hAnsi="Calibri" w:cs="Calibri"/>
                <w:sz w:val="24"/>
                <w:szCs w:val="24"/>
                <w:lang w:eastAsia="en-AU"/>
              </w:rPr>
              <w:t> </w:t>
            </w:r>
            <w:r w:rsidR="008453D8"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="008453D8"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  <w:p w14:paraId="77679AAD" w14:textId="77777777" w:rsidR="0076465D" w:rsidRPr="0076465D" w:rsidRDefault="0076465D" w:rsidP="0076465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bookmarkEnd w:id="1"/>
    </w:tbl>
    <w:p w14:paraId="1B55FCD9" w14:textId="6DC8744B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2591C6B6" w:rsidR="005E3EA0" w:rsidRDefault="005E3EA0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64810A0F" w14:textId="53D94D16" w:rsidR="0076465D" w:rsidRPr="005E3EA0" w:rsidRDefault="0076465D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bookmarkStart w:id="2" w:name="_Hlk119398483"/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 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bookmarkEnd w:id="2"/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B8EC" w14:textId="77777777" w:rsidR="00E55BF1" w:rsidRDefault="00E55BF1">
      <w:r>
        <w:separator/>
      </w:r>
    </w:p>
  </w:endnote>
  <w:endnote w:type="continuationSeparator" w:id="0">
    <w:p w14:paraId="2CFFC96F" w14:textId="77777777" w:rsidR="00E55BF1" w:rsidRDefault="00E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183F" w14:textId="77777777" w:rsidR="00E55BF1" w:rsidRDefault="00E55BF1">
      <w:r>
        <w:separator/>
      </w:r>
    </w:p>
  </w:footnote>
  <w:footnote w:type="continuationSeparator" w:id="0">
    <w:p w14:paraId="3697186B" w14:textId="77777777" w:rsidR="00E55BF1" w:rsidRDefault="00E5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93E2233" wp14:editId="050FEF6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f9f84b18af029b4ad7fa9f24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28FC1F99" w:rsidR="00E703D0" w:rsidRPr="006623EF" w:rsidRDefault="006623EF" w:rsidP="006623EF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623EF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f9f84b18af029b4ad7fa9f24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28FC1F99" w:rsidR="00E703D0" w:rsidRPr="006623EF" w:rsidRDefault="006623EF" w:rsidP="006623EF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623EF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67A276E" wp14:editId="52BE3D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649b42b4b210bef002afdab8" descr="{&quot;HashCode&quot;:161074613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28ED0568" w:rsidR="00E703D0" w:rsidRPr="006623EF" w:rsidRDefault="006623EF" w:rsidP="006623EF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623EF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649b42b4b210bef002afdab8" o:spid="_x0000_s1027" type="#_x0000_t202" alt="{&quot;HashCode&quot;:1610746136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28ED0568" w:rsidR="00E703D0" w:rsidRPr="006623EF" w:rsidRDefault="006623EF" w:rsidP="006623EF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623EF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2731337">
    <w:abstractNumId w:val="9"/>
  </w:num>
  <w:num w:numId="2" w16cid:durableId="1085419942">
    <w:abstractNumId w:val="7"/>
  </w:num>
  <w:num w:numId="3" w16cid:durableId="146173638">
    <w:abstractNumId w:val="6"/>
  </w:num>
  <w:num w:numId="4" w16cid:durableId="1615556495">
    <w:abstractNumId w:val="5"/>
  </w:num>
  <w:num w:numId="5" w16cid:durableId="491486205">
    <w:abstractNumId w:val="4"/>
  </w:num>
  <w:num w:numId="6" w16cid:durableId="1265651924">
    <w:abstractNumId w:val="8"/>
  </w:num>
  <w:num w:numId="7" w16cid:durableId="424300964">
    <w:abstractNumId w:val="3"/>
  </w:num>
  <w:num w:numId="8" w16cid:durableId="314796145">
    <w:abstractNumId w:val="2"/>
  </w:num>
  <w:num w:numId="9" w16cid:durableId="925187234">
    <w:abstractNumId w:val="1"/>
  </w:num>
  <w:num w:numId="10" w16cid:durableId="397285435">
    <w:abstractNumId w:val="0"/>
  </w:num>
  <w:num w:numId="11" w16cid:durableId="368917489">
    <w:abstractNumId w:val="16"/>
  </w:num>
  <w:num w:numId="12" w16cid:durableId="1423188115">
    <w:abstractNumId w:val="14"/>
  </w:num>
  <w:num w:numId="13" w16cid:durableId="807552610">
    <w:abstractNumId w:val="10"/>
  </w:num>
  <w:num w:numId="14" w16cid:durableId="1973633496">
    <w:abstractNumId w:val="11"/>
  </w:num>
  <w:num w:numId="15" w16cid:durableId="244538961">
    <w:abstractNumId w:val="13"/>
  </w:num>
  <w:num w:numId="16" w16cid:durableId="1987969594">
    <w:abstractNumId w:val="12"/>
  </w:num>
  <w:num w:numId="17" w16cid:durableId="316882311">
    <w:abstractNumId w:val="18"/>
  </w:num>
  <w:num w:numId="18" w16cid:durableId="722757839">
    <w:abstractNumId w:val="15"/>
  </w:num>
  <w:num w:numId="19" w16cid:durableId="1784226113">
    <w:abstractNumId w:val="20"/>
  </w:num>
  <w:num w:numId="20" w16cid:durableId="93399403">
    <w:abstractNumId w:val="19"/>
  </w:num>
  <w:num w:numId="21" w16cid:durableId="32777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A3F72"/>
    <w:rsid w:val="001C19A0"/>
    <w:rsid w:val="001D1D55"/>
    <w:rsid w:val="001D491C"/>
    <w:rsid w:val="002042F6"/>
    <w:rsid w:val="00242FF6"/>
    <w:rsid w:val="00262B6E"/>
    <w:rsid w:val="002827AD"/>
    <w:rsid w:val="002C16BA"/>
    <w:rsid w:val="002D6245"/>
    <w:rsid w:val="002E2602"/>
    <w:rsid w:val="00330D6E"/>
    <w:rsid w:val="003458F7"/>
    <w:rsid w:val="003965EC"/>
    <w:rsid w:val="003D1190"/>
    <w:rsid w:val="0040367D"/>
    <w:rsid w:val="004220CA"/>
    <w:rsid w:val="00437CEB"/>
    <w:rsid w:val="004400C4"/>
    <w:rsid w:val="004557EE"/>
    <w:rsid w:val="004808CC"/>
    <w:rsid w:val="00490798"/>
    <w:rsid w:val="004A2C99"/>
    <w:rsid w:val="004B46C2"/>
    <w:rsid w:val="004E4D0C"/>
    <w:rsid w:val="00514EB2"/>
    <w:rsid w:val="005324CF"/>
    <w:rsid w:val="0053264D"/>
    <w:rsid w:val="005527D1"/>
    <w:rsid w:val="00552EB3"/>
    <w:rsid w:val="00581CE6"/>
    <w:rsid w:val="00582353"/>
    <w:rsid w:val="005875D8"/>
    <w:rsid w:val="005D2915"/>
    <w:rsid w:val="005E3EA0"/>
    <w:rsid w:val="005E5744"/>
    <w:rsid w:val="005E5E14"/>
    <w:rsid w:val="005F352F"/>
    <w:rsid w:val="005F393E"/>
    <w:rsid w:val="00645951"/>
    <w:rsid w:val="00646E85"/>
    <w:rsid w:val="006623EF"/>
    <w:rsid w:val="006B3961"/>
    <w:rsid w:val="006C0EED"/>
    <w:rsid w:val="006F42B3"/>
    <w:rsid w:val="00707A53"/>
    <w:rsid w:val="00720871"/>
    <w:rsid w:val="00725F54"/>
    <w:rsid w:val="00730805"/>
    <w:rsid w:val="00734E79"/>
    <w:rsid w:val="00737861"/>
    <w:rsid w:val="0076465D"/>
    <w:rsid w:val="00772B09"/>
    <w:rsid w:val="00795A7E"/>
    <w:rsid w:val="007C4255"/>
    <w:rsid w:val="007D76A8"/>
    <w:rsid w:val="00815252"/>
    <w:rsid w:val="00831161"/>
    <w:rsid w:val="0083614C"/>
    <w:rsid w:val="008453D8"/>
    <w:rsid w:val="00852993"/>
    <w:rsid w:val="00864EB1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977434"/>
    <w:rsid w:val="009E623C"/>
    <w:rsid w:val="009F00B5"/>
    <w:rsid w:val="00A05CCE"/>
    <w:rsid w:val="00A06C3E"/>
    <w:rsid w:val="00A470B4"/>
    <w:rsid w:val="00A81202"/>
    <w:rsid w:val="00A841B3"/>
    <w:rsid w:val="00A96783"/>
    <w:rsid w:val="00A97F64"/>
    <w:rsid w:val="00AB3ABC"/>
    <w:rsid w:val="00AB5C1F"/>
    <w:rsid w:val="00AD0E3A"/>
    <w:rsid w:val="00AF346D"/>
    <w:rsid w:val="00B4447B"/>
    <w:rsid w:val="00B52BBC"/>
    <w:rsid w:val="00B73D7E"/>
    <w:rsid w:val="00B9014C"/>
    <w:rsid w:val="00C310C9"/>
    <w:rsid w:val="00C91A13"/>
    <w:rsid w:val="00CA1873"/>
    <w:rsid w:val="00D02573"/>
    <w:rsid w:val="00D10DFF"/>
    <w:rsid w:val="00D27415"/>
    <w:rsid w:val="00D46FDB"/>
    <w:rsid w:val="00D5589E"/>
    <w:rsid w:val="00D6240C"/>
    <w:rsid w:val="00D76AD5"/>
    <w:rsid w:val="00D77277"/>
    <w:rsid w:val="00DD3817"/>
    <w:rsid w:val="00DD7C09"/>
    <w:rsid w:val="00DE50F1"/>
    <w:rsid w:val="00E17AFA"/>
    <w:rsid w:val="00E508D4"/>
    <w:rsid w:val="00E516E4"/>
    <w:rsid w:val="00E53FDB"/>
    <w:rsid w:val="00E55BF1"/>
    <w:rsid w:val="00E60639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24E00341"/>
    <w:rsid w:val="4881CEB6"/>
    <w:rsid w:val="566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22B79-9985-4D18-A328-DC07C99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40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4</cp:revision>
  <cp:lastPrinted>1900-12-31T14:00:00Z</cp:lastPrinted>
  <dcterms:created xsi:type="dcterms:W3CDTF">2024-03-26T02:19:00Z</dcterms:created>
  <dcterms:modified xsi:type="dcterms:W3CDTF">2024-03-26T03:31:00Z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2023-03-16T03:01:20Z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0cbbc57b-f79a-4fc7-a3d4-57818950d934</vt:lpwstr>
  </property>
  <property fmtid="{D5CDD505-2E9C-101B-9397-08002B2CF9AE}" pid="11" name="MSIP_Label_8c3d088b-6243-4963-a2e2-8b321ab7f8fc_ContentBits">
    <vt:lpwstr>1</vt:lpwstr>
  </property>
</Properties>
</file>