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BF6" w:rsidRPr="00782BF6" w:rsidRDefault="00782BF6" w:rsidP="00782BF6">
      <w:pPr>
        <w:rPr>
          <w:rFonts w:cstheme="minorHAnsi"/>
          <w:b/>
          <w:sz w:val="26"/>
          <w:szCs w:val="26"/>
        </w:rPr>
      </w:pPr>
      <w:r w:rsidRPr="00782BF6">
        <w:rPr>
          <w:rFonts w:cstheme="minorHAnsi"/>
          <w:b/>
          <w:sz w:val="26"/>
          <w:szCs w:val="26"/>
        </w:rPr>
        <w:t xml:space="preserve">LITERATURE REVIEW ACTIVITY: INTRODUCTION STRUCTURE </w:t>
      </w:r>
    </w:p>
    <w:p w:rsidR="00782BF6" w:rsidRPr="00782BF6" w:rsidRDefault="00782BF6" w:rsidP="00782BF6">
      <w:pPr>
        <w:pStyle w:val="Default"/>
        <w:spacing w:line="360" w:lineRule="auto"/>
        <w:rPr>
          <w:rFonts w:asciiTheme="minorHAnsi" w:hAnsiTheme="minorHAnsi" w:cstheme="minorHAnsi"/>
        </w:rPr>
      </w:pPr>
      <w:r w:rsidRPr="00782BF6">
        <w:rPr>
          <w:rFonts w:asciiTheme="minorHAnsi" w:hAnsiTheme="minorHAnsi" w:cstheme="minorHAnsi"/>
        </w:rPr>
        <w:t xml:space="preserve">Skim the following lit. review introduction and identify where the text:  </w:t>
      </w:r>
    </w:p>
    <w:p w:rsidR="00782BF6" w:rsidRPr="00782BF6" w:rsidRDefault="00782BF6" w:rsidP="00782BF6">
      <w:pPr>
        <w:pStyle w:val="Default"/>
        <w:numPr>
          <w:ilvl w:val="0"/>
          <w:numId w:val="1"/>
        </w:numPr>
        <w:spacing w:line="360" w:lineRule="auto"/>
        <w:rPr>
          <w:rFonts w:asciiTheme="minorHAnsi" w:hAnsiTheme="minorHAnsi" w:cstheme="minorHAnsi"/>
        </w:rPr>
      </w:pPr>
      <w:r w:rsidRPr="00782BF6">
        <w:rPr>
          <w:rFonts w:asciiTheme="minorHAnsi" w:hAnsiTheme="minorHAnsi" w:cstheme="minorHAnsi"/>
        </w:rPr>
        <w:t xml:space="preserve">gives the general context </w:t>
      </w:r>
    </w:p>
    <w:p w:rsidR="00782BF6" w:rsidRPr="00782BF6" w:rsidRDefault="00782BF6" w:rsidP="00782BF6">
      <w:pPr>
        <w:pStyle w:val="Default"/>
        <w:numPr>
          <w:ilvl w:val="0"/>
          <w:numId w:val="1"/>
        </w:numPr>
        <w:spacing w:line="360" w:lineRule="auto"/>
        <w:rPr>
          <w:rFonts w:asciiTheme="minorHAnsi" w:hAnsiTheme="minorHAnsi" w:cstheme="minorHAnsi"/>
        </w:rPr>
      </w:pPr>
      <w:r w:rsidRPr="00782BF6">
        <w:rPr>
          <w:rFonts w:asciiTheme="minorHAnsi" w:hAnsiTheme="minorHAnsi" w:cstheme="minorHAnsi"/>
        </w:rPr>
        <w:t xml:space="preserve">narrows the context to the research area </w:t>
      </w:r>
    </w:p>
    <w:p w:rsidR="00782BF6" w:rsidRPr="00782BF6" w:rsidRDefault="00782BF6" w:rsidP="00782BF6">
      <w:pPr>
        <w:pStyle w:val="Default"/>
        <w:numPr>
          <w:ilvl w:val="0"/>
          <w:numId w:val="1"/>
        </w:numPr>
        <w:spacing w:line="360" w:lineRule="auto"/>
        <w:rPr>
          <w:rFonts w:asciiTheme="minorHAnsi" w:hAnsiTheme="minorHAnsi" w:cstheme="minorHAnsi"/>
        </w:rPr>
      </w:pPr>
      <w:proofErr w:type="gramStart"/>
      <w:r w:rsidRPr="00782BF6">
        <w:rPr>
          <w:rFonts w:asciiTheme="minorHAnsi" w:hAnsiTheme="minorHAnsi" w:cstheme="minorHAnsi"/>
        </w:rPr>
        <w:t>generally</w:t>
      </w:r>
      <w:proofErr w:type="gramEnd"/>
      <w:r w:rsidRPr="00782BF6">
        <w:rPr>
          <w:rFonts w:asciiTheme="minorHAnsi" w:hAnsiTheme="minorHAnsi" w:cstheme="minorHAnsi"/>
        </w:rPr>
        <w:t xml:space="preserve"> identifies some gaps in understanding </w:t>
      </w:r>
    </w:p>
    <w:p w:rsidR="00782BF6" w:rsidRPr="00782BF6" w:rsidRDefault="00782BF6" w:rsidP="00782BF6">
      <w:pPr>
        <w:pStyle w:val="Default"/>
        <w:numPr>
          <w:ilvl w:val="0"/>
          <w:numId w:val="1"/>
        </w:numPr>
        <w:spacing w:line="360" w:lineRule="auto"/>
        <w:rPr>
          <w:rFonts w:asciiTheme="minorHAnsi" w:hAnsiTheme="minorHAnsi" w:cstheme="minorHAnsi"/>
        </w:rPr>
      </w:pPr>
      <w:r w:rsidRPr="00782BF6">
        <w:rPr>
          <w:rFonts w:asciiTheme="minorHAnsi" w:hAnsiTheme="minorHAnsi" w:cstheme="minorHAnsi"/>
        </w:rPr>
        <w:t xml:space="preserve">reminds the reader of the focus of the lit. review </w:t>
      </w:r>
    </w:p>
    <w:p w:rsidR="00782BF6" w:rsidRPr="00782BF6" w:rsidRDefault="00782BF6" w:rsidP="00782BF6">
      <w:pPr>
        <w:pStyle w:val="Default"/>
        <w:numPr>
          <w:ilvl w:val="0"/>
          <w:numId w:val="1"/>
        </w:numPr>
        <w:spacing w:line="360" w:lineRule="auto"/>
        <w:rPr>
          <w:rFonts w:asciiTheme="minorHAnsi" w:hAnsiTheme="minorHAnsi" w:cstheme="minorHAnsi"/>
        </w:rPr>
      </w:pPr>
      <w:r w:rsidRPr="00782BF6">
        <w:rPr>
          <w:rFonts w:asciiTheme="minorHAnsi" w:hAnsiTheme="minorHAnsi" w:cstheme="minorHAnsi"/>
        </w:rPr>
        <w:t xml:space="preserve">identifies the scope of the lit. review. </w:t>
      </w:r>
    </w:p>
    <w:p w:rsidR="00782BF6" w:rsidRPr="000861EE" w:rsidRDefault="00782BF6" w:rsidP="00782BF6">
      <w:pPr>
        <w:pStyle w:val="Default"/>
        <w:ind w:left="720"/>
        <w:rPr>
          <w:rFonts w:asciiTheme="minorHAnsi" w:hAnsiTheme="minorHAnsi" w:cstheme="minorHAnsi"/>
          <w:sz w:val="28"/>
          <w:szCs w:val="28"/>
        </w:rPr>
      </w:pPr>
    </w:p>
    <w:p w:rsidR="00782BF6" w:rsidRPr="00782BF6" w:rsidRDefault="00782BF6" w:rsidP="00782BF6">
      <w:pPr>
        <w:pStyle w:val="Default"/>
        <w:rPr>
          <w:rFonts w:asciiTheme="minorHAnsi" w:hAnsiTheme="minorHAnsi" w:cstheme="minorHAnsi"/>
          <w:sz w:val="22"/>
          <w:szCs w:val="22"/>
        </w:rPr>
      </w:pPr>
      <w:r w:rsidRPr="00782BF6">
        <w:rPr>
          <w:rFonts w:asciiTheme="minorHAnsi" w:hAnsiTheme="minorHAnsi" w:cstheme="minorHAnsi"/>
          <w:b/>
          <w:bCs/>
          <w:sz w:val="22"/>
          <w:szCs w:val="22"/>
        </w:rPr>
        <w:t xml:space="preserve">CHAPTER 2 LITERATURE REVIEW </w:t>
      </w:r>
    </w:p>
    <w:p w:rsidR="00782BF6" w:rsidRPr="00782BF6" w:rsidRDefault="00782BF6" w:rsidP="00782BF6">
      <w:pPr>
        <w:pStyle w:val="Default"/>
        <w:rPr>
          <w:rFonts w:asciiTheme="minorHAnsi" w:hAnsiTheme="minorHAnsi" w:cstheme="minorHAnsi"/>
          <w:sz w:val="22"/>
          <w:szCs w:val="22"/>
        </w:rPr>
      </w:pPr>
    </w:p>
    <w:p w:rsidR="00782BF6" w:rsidRDefault="00782BF6" w:rsidP="00782BF6">
      <w:pPr>
        <w:pStyle w:val="Default"/>
        <w:rPr>
          <w:rFonts w:asciiTheme="minorHAnsi" w:hAnsiTheme="minorHAnsi" w:cstheme="minorHAnsi"/>
          <w:b/>
        </w:rPr>
      </w:pPr>
      <w:r w:rsidRPr="00782BF6">
        <w:rPr>
          <w:rFonts w:asciiTheme="minorHAnsi" w:hAnsiTheme="minorHAnsi" w:cstheme="minorHAnsi"/>
          <w:b/>
        </w:rPr>
        <w:t xml:space="preserve">Introduction </w:t>
      </w:r>
    </w:p>
    <w:p w:rsidR="00782BF6" w:rsidRPr="00782BF6" w:rsidRDefault="00782BF6" w:rsidP="00782BF6">
      <w:pPr>
        <w:pStyle w:val="Default"/>
        <w:rPr>
          <w:rFonts w:asciiTheme="minorHAnsi" w:hAnsiTheme="minorHAnsi" w:cstheme="minorHAnsi"/>
          <w:b/>
          <w:sz w:val="8"/>
          <w:szCs w:val="8"/>
        </w:rPr>
      </w:pPr>
    </w:p>
    <w:p w:rsidR="00782BF6" w:rsidRPr="00782BF6" w:rsidRDefault="00782BF6" w:rsidP="00782BF6">
      <w:pPr>
        <w:pStyle w:val="Default"/>
        <w:spacing w:line="276" w:lineRule="auto"/>
        <w:rPr>
          <w:rFonts w:asciiTheme="minorHAnsi" w:hAnsiTheme="minorHAnsi" w:cstheme="minorHAnsi"/>
        </w:rPr>
      </w:pPr>
      <w:r w:rsidRPr="00782BF6">
        <w:rPr>
          <w:rFonts w:asciiTheme="minorHAnsi" w:hAnsiTheme="minorHAnsi" w:cstheme="minorHAnsi"/>
        </w:rPr>
        <w:t>The current and developing changes in purpose, epistemologies, methodologies and literacies of the higher degree by research (</w:t>
      </w:r>
      <w:proofErr w:type="spellStart"/>
      <w:r w:rsidRPr="00782BF6">
        <w:rPr>
          <w:rFonts w:asciiTheme="minorHAnsi" w:hAnsiTheme="minorHAnsi" w:cstheme="minorHAnsi"/>
        </w:rPr>
        <w:t>HDR</w:t>
      </w:r>
      <w:proofErr w:type="spellEnd"/>
      <w:r w:rsidRPr="00782BF6">
        <w:rPr>
          <w:rFonts w:asciiTheme="minorHAnsi" w:hAnsiTheme="minorHAnsi" w:cstheme="minorHAnsi"/>
        </w:rPr>
        <w:t xml:space="preserve">) have their roots in massive changes in operations and perceived functions. Along with the many debates around the nature of general changes in universities there has also been some engagement with the effects of these changes in the characteristics of awards generally, including the </w:t>
      </w:r>
      <w:proofErr w:type="spellStart"/>
      <w:r w:rsidRPr="00782BF6">
        <w:rPr>
          <w:rFonts w:asciiTheme="minorHAnsi" w:hAnsiTheme="minorHAnsi" w:cstheme="minorHAnsi"/>
        </w:rPr>
        <w:t>HDR</w:t>
      </w:r>
      <w:proofErr w:type="spellEnd"/>
      <w:r w:rsidRPr="00782BF6">
        <w:rPr>
          <w:rFonts w:asciiTheme="minorHAnsi" w:hAnsiTheme="minorHAnsi" w:cstheme="minorHAnsi"/>
        </w:rPr>
        <w:t xml:space="preserve">, and the doctoral degree specifically. Doctoral study needs to be seen </w:t>
      </w:r>
      <w:proofErr w:type="gramStart"/>
      <w:r w:rsidRPr="00782BF6">
        <w:rPr>
          <w:rFonts w:asciiTheme="minorHAnsi" w:hAnsiTheme="minorHAnsi" w:cstheme="minorHAnsi"/>
        </w:rPr>
        <w:t>in light of</w:t>
      </w:r>
      <w:proofErr w:type="gramEnd"/>
      <w:r w:rsidRPr="00782BF6">
        <w:rPr>
          <w:rFonts w:asciiTheme="minorHAnsi" w:hAnsiTheme="minorHAnsi" w:cstheme="minorHAnsi"/>
        </w:rPr>
        <w:t xml:space="preserve"> Barnett’s (2000) general recasting of the university as being engulfed in unremitting multiple frames of understanding which he calls </w:t>
      </w:r>
      <w:proofErr w:type="spellStart"/>
      <w:r w:rsidRPr="00782BF6">
        <w:rPr>
          <w:rFonts w:asciiTheme="minorHAnsi" w:hAnsiTheme="minorHAnsi" w:cstheme="minorHAnsi"/>
        </w:rPr>
        <w:t>supercomplexity</w:t>
      </w:r>
      <w:proofErr w:type="spellEnd"/>
      <w:r w:rsidRPr="00782BF6">
        <w:rPr>
          <w:rFonts w:asciiTheme="minorHAnsi" w:hAnsiTheme="minorHAnsi" w:cstheme="minorHAnsi"/>
        </w:rPr>
        <w:t xml:space="preserve">, making reframing research critical (Maxwell, 2002). It has also moved from ‘an elite but peripheral role, to occupy a more visible position’ (Neumann, 2002, p. 167), and although the message is clear that universities need to adapt to ensure their survival, it is also clear that we need to fully understand in what ways the doctoral degrees may be evolving to ensure their survival. As an important element of universities, there is a need to identify the impact of the changing political economy on doctoral degrees in terms of institutional and government policy, doctoral candidates, supervisors and examiners. </w:t>
      </w:r>
    </w:p>
    <w:p w:rsidR="00782BF6" w:rsidRPr="00782BF6" w:rsidRDefault="00782BF6" w:rsidP="00782BF6">
      <w:pPr>
        <w:pStyle w:val="Default"/>
        <w:spacing w:line="276" w:lineRule="auto"/>
        <w:rPr>
          <w:rFonts w:asciiTheme="minorHAnsi" w:hAnsiTheme="minorHAnsi" w:cstheme="minorHAnsi"/>
          <w:sz w:val="26"/>
          <w:szCs w:val="26"/>
        </w:rPr>
      </w:pPr>
    </w:p>
    <w:p w:rsidR="00782BF6" w:rsidRDefault="00782BF6" w:rsidP="00782BF6">
      <w:pPr>
        <w:rPr>
          <w:rFonts w:cstheme="minorHAnsi"/>
          <w:sz w:val="24"/>
          <w:szCs w:val="24"/>
        </w:rPr>
      </w:pPr>
      <w:r w:rsidRPr="00782BF6">
        <w:rPr>
          <w:rFonts w:cstheme="minorHAnsi"/>
          <w:sz w:val="24"/>
          <w:szCs w:val="24"/>
        </w:rPr>
        <w:t xml:space="preserve">This chapter begins by briefly describing the history, definitions and values of the doctoral degree before providing a critical review of the literature, identifying and analysing current knowledge and understanding surrounding the research focus of traditional, practice-based and professional doctoral study. New forms of knowledge </w:t>
      </w:r>
      <w:r>
        <w:rPr>
          <w:rFonts w:cstheme="minorHAnsi"/>
          <w:sz w:val="24"/>
          <w:szCs w:val="24"/>
        </w:rPr>
        <w:t>and innovations in doctoral degrees are discussed followed by issues in doctoral practice. Where salient, comparisons will be made between doctoral programs in Australia and elsewhere, although discussion is mainly focused on the situation in Australia.</w:t>
      </w:r>
    </w:p>
    <w:p w:rsidR="00782BF6" w:rsidRDefault="00782BF6" w:rsidP="00782BF6">
      <w:pPr>
        <w:rPr>
          <w:rFonts w:cstheme="minorHAnsi"/>
          <w:sz w:val="24"/>
          <w:szCs w:val="24"/>
        </w:rPr>
      </w:pPr>
    </w:p>
    <w:p w:rsidR="00782BF6" w:rsidRDefault="00782BF6" w:rsidP="00782BF6">
      <w:pPr>
        <w:rPr>
          <w:rFonts w:cstheme="minorHAnsi"/>
          <w:sz w:val="24"/>
          <w:szCs w:val="24"/>
        </w:rPr>
      </w:pPr>
    </w:p>
    <w:p w:rsidR="00CE17A6" w:rsidRDefault="00782BF6" w:rsidP="00782BF6">
      <w:pPr>
        <w:rPr>
          <w:rFonts w:cstheme="minorHAnsi"/>
          <w:sz w:val="18"/>
          <w:szCs w:val="18"/>
        </w:rPr>
      </w:pPr>
      <w:r w:rsidRPr="000861EE">
        <w:rPr>
          <w:rFonts w:cstheme="minorHAnsi"/>
          <w:sz w:val="18"/>
          <w:szCs w:val="18"/>
        </w:rPr>
        <w:t xml:space="preserve">Source: Maxwell, J. (2009). </w:t>
      </w:r>
      <w:r w:rsidRPr="000861EE">
        <w:rPr>
          <w:rFonts w:cstheme="minorHAnsi"/>
          <w:i/>
          <w:iCs/>
          <w:sz w:val="18"/>
          <w:szCs w:val="18"/>
        </w:rPr>
        <w:t xml:space="preserve">Contesting the culture of the doctoral degree. </w:t>
      </w:r>
      <w:r>
        <w:rPr>
          <w:rFonts w:cstheme="minorHAnsi"/>
          <w:sz w:val="18"/>
          <w:szCs w:val="18"/>
        </w:rPr>
        <w:t xml:space="preserve">PhD Thesis (Education), </w:t>
      </w:r>
      <w:proofErr w:type="spellStart"/>
      <w:r>
        <w:rPr>
          <w:rFonts w:cstheme="minorHAnsi"/>
          <w:sz w:val="18"/>
          <w:szCs w:val="18"/>
        </w:rPr>
        <w:t>RMIT</w:t>
      </w:r>
      <w:proofErr w:type="spellEnd"/>
      <w:r>
        <w:rPr>
          <w:rFonts w:cstheme="minorHAnsi"/>
          <w:sz w:val="18"/>
          <w:szCs w:val="18"/>
        </w:rPr>
        <w:t xml:space="preserve"> University.</w:t>
      </w:r>
    </w:p>
    <w:p w:rsidR="00782BF6" w:rsidRPr="00782BF6" w:rsidRDefault="0063361E" w:rsidP="00782BF6">
      <w:pPr>
        <w:rPr>
          <w:b/>
        </w:rP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4BE8D595" wp14:editId="3E56A48C">
                <wp:simplePos x="0" y="0"/>
                <wp:positionH relativeFrom="column">
                  <wp:posOffset>4519930</wp:posOffset>
                </wp:positionH>
                <wp:positionV relativeFrom="paragraph">
                  <wp:posOffset>56515</wp:posOffset>
                </wp:positionV>
                <wp:extent cx="1676400" cy="8772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76400" cy="8772525"/>
                        </a:xfrm>
                        <a:prstGeom prst="rect">
                          <a:avLst/>
                        </a:prstGeom>
                        <a:solidFill>
                          <a:schemeClr val="lt1"/>
                        </a:solidFill>
                        <a:ln w="6350">
                          <a:solidFill>
                            <a:prstClr val="black"/>
                          </a:solidFill>
                        </a:ln>
                      </wps:spPr>
                      <wps:txbx>
                        <w:txbxContent>
                          <w:p w:rsidR="00782BF6" w:rsidRPr="00B70223" w:rsidRDefault="00782BF6" w:rsidP="00782BF6">
                            <w:pPr>
                              <w:pStyle w:val="ListParagraph"/>
                              <w:numPr>
                                <w:ilvl w:val="0"/>
                                <w:numId w:val="2"/>
                              </w:numPr>
                              <w:spacing w:after="0" w:line="240" w:lineRule="auto"/>
                              <w:ind w:left="284" w:hanging="284"/>
                              <w:rPr>
                                <w:b/>
                                <w:bCs/>
                                <w:color w:val="C00000"/>
                                <w:sz w:val="24"/>
                                <w:szCs w:val="24"/>
                              </w:rPr>
                            </w:pPr>
                            <w:r w:rsidRPr="00B70223">
                              <w:rPr>
                                <w:b/>
                                <w:bCs/>
                                <w:color w:val="C00000"/>
                                <w:sz w:val="24"/>
                                <w:szCs w:val="24"/>
                                <w:u w:val="single"/>
                              </w:rPr>
                              <w:t>General context</w:t>
                            </w:r>
                            <w:r w:rsidRPr="00B70223">
                              <w:rPr>
                                <w:b/>
                                <w:bCs/>
                                <w:color w:val="C00000"/>
                                <w:sz w:val="24"/>
                                <w:szCs w:val="24"/>
                              </w:rPr>
                              <w:t>:</w:t>
                            </w:r>
                          </w:p>
                          <w:p w:rsidR="00782BF6" w:rsidRDefault="00782BF6" w:rsidP="00782BF6">
                            <w:pPr>
                              <w:pStyle w:val="ListParagraph"/>
                              <w:ind w:left="284"/>
                              <w:rPr>
                                <w:bCs/>
                                <w:color w:val="C00000"/>
                                <w:sz w:val="24"/>
                                <w:szCs w:val="24"/>
                              </w:rPr>
                            </w:pPr>
                            <w:r w:rsidRPr="000861EE">
                              <w:rPr>
                                <w:bCs/>
                                <w:color w:val="C00000"/>
                                <w:sz w:val="24"/>
                                <w:szCs w:val="24"/>
                              </w:rPr>
                              <w:t>Changes in the degree structure reflect changes in university options &amp; functions.</w:t>
                            </w:r>
                          </w:p>
                          <w:p w:rsidR="00782BF6" w:rsidRPr="000861EE" w:rsidRDefault="00782BF6" w:rsidP="00782BF6">
                            <w:pPr>
                              <w:pStyle w:val="ListParagraph"/>
                              <w:ind w:left="284"/>
                              <w:rPr>
                                <w:bCs/>
                                <w:color w:val="C00000"/>
                                <w:sz w:val="24"/>
                                <w:szCs w:val="24"/>
                              </w:rPr>
                            </w:pPr>
                          </w:p>
                          <w:p w:rsidR="00782BF6" w:rsidRPr="00B70223" w:rsidRDefault="00782BF6" w:rsidP="00782BF6">
                            <w:pPr>
                              <w:spacing w:after="0" w:line="240" w:lineRule="auto"/>
                              <w:rPr>
                                <w:b/>
                                <w:bCs/>
                                <w:color w:val="7030A0"/>
                                <w:sz w:val="24"/>
                                <w:szCs w:val="24"/>
                                <w:u w:val="single"/>
                              </w:rPr>
                            </w:pPr>
                            <w:r w:rsidRPr="00B70223">
                              <w:rPr>
                                <w:b/>
                                <w:bCs/>
                                <w:color w:val="7030A0"/>
                                <w:sz w:val="24"/>
                                <w:szCs w:val="24"/>
                              </w:rPr>
                              <w:t xml:space="preserve">2.  </w:t>
                            </w:r>
                            <w:r w:rsidRPr="00B70223">
                              <w:rPr>
                                <w:b/>
                                <w:bCs/>
                                <w:color w:val="7030A0"/>
                                <w:sz w:val="24"/>
                                <w:szCs w:val="24"/>
                                <w:u w:val="single"/>
                              </w:rPr>
                              <w:t xml:space="preserve">More specific   </w:t>
                            </w:r>
                          </w:p>
                          <w:p w:rsidR="00782BF6" w:rsidRDefault="00782BF6" w:rsidP="00782BF6">
                            <w:pPr>
                              <w:spacing w:after="0" w:line="240" w:lineRule="auto"/>
                              <w:ind w:left="142"/>
                              <w:rPr>
                                <w:bCs/>
                                <w:color w:val="7030A0"/>
                                <w:sz w:val="24"/>
                                <w:szCs w:val="24"/>
                              </w:rPr>
                            </w:pPr>
                            <w:r w:rsidRPr="000861EE">
                              <w:rPr>
                                <w:b/>
                                <w:bCs/>
                                <w:color w:val="7030A0"/>
                                <w:sz w:val="24"/>
                                <w:szCs w:val="24"/>
                              </w:rPr>
                              <w:t xml:space="preserve">  </w:t>
                            </w:r>
                            <w:r w:rsidRPr="000861EE">
                              <w:rPr>
                                <w:b/>
                                <w:bCs/>
                                <w:color w:val="7030A0"/>
                                <w:sz w:val="24"/>
                                <w:szCs w:val="24"/>
                                <w:u w:val="single"/>
                              </w:rPr>
                              <w:t>context</w:t>
                            </w:r>
                            <w:r>
                              <w:rPr>
                                <w:bCs/>
                                <w:color w:val="7030A0"/>
                                <w:sz w:val="24"/>
                                <w:szCs w:val="24"/>
                              </w:rPr>
                              <w:t>: the</w:t>
                            </w:r>
                            <w:r w:rsidRPr="000861EE">
                              <w:rPr>
                                <w:bCs/>
                                <w:color w:val="7030A0"/>
                                <w:sz w:val="24"/>
                                <w:szCs w:val="24"/>
                              </w:rPr>
                              <w:t xml:space="preserve">se </w:t>
                            </w:r>
                            <w:r>
                              <w:rPr>
                                <w:bCs/>
                                <w:color w:val="7030A0"/>
                                <w:sz w:val="24"/>
                                <w:szCs w:val="24"/>
                              </w:rPr>
                              <w:t xml:space="preserve"> </w:t>
                            </w:r>
                          </w:p>
                          <w:p w:rsidR="00782BF6" w:rsidRDefault="00782BF6" w:rsidP="00782BF6">
                            <w:pPr>
                              <w:spacing w:after="0" w:line="240" w:lineRule="auto"/>
                              <w:ind w:left="284"/>
                              <w:rPr>
                                <w:bCs/>
                                <w:color w:val="7030A0"/>
                                <w:sz w:val="24"/>
                                <w:szCs w:val="24"/>
                              </w:rPr>
                            </w:pPr>
                            <w:r w:rsidRPr="000861EE">
                              <w:rPr>
                                <w:bCs/>
                                <w:color w:val="7030A0"/>
                                <w:sz w:val="24"/>
                                <w:szCs w:val="24"/>
                              </w:rPr>
                              <w:t xml:space="preserve">changes include an </w:t>
                            </w:r>
                            <w:r>
                              <w:rPr>
                                <w:bCs/>
                                <w:color w:val="7030A0"/>
                                <w:sz w:val="24"/>
                                <w:szCs w:val="24"/>
                              </w:rPr>
                              <w:t xml:space="preserve">   </w:t>
                            </w:r>
                            <w:r w:rsidRPr="000861EE">
                              <w:rPr>
                                <w:bCs/>
                                <w:color w:val="7030A0"/>
                                <w:sz w:val="24"/>
                                <w:szCs w:val="24"/>
                              </w:rPr>
                              <w:t>environment of ‘</w:t>
                            </w:r>
                            <w:proofErr w:type="spellStart"/>
                            <w:r w:rsidRPr="000861EE">
                              <w:rPr>
                                <w:bCs/>
                                <w:color w:val="7030A0"/>
                                <w:sz w:val="24"/>
                                <w:szCs w:val="24"/>
                              </w:rPr>
                              <w:t>supercomplexity</w:t>
                            </w:r>
                            <w:proofErr w:type="spellEnd"/>
                            <w:r w:rsidRPr="000861EE">
                              <w:rPr>
                                <w:bCs/>
                                <w:color w:val="7030A0"/>
                                <w:sz w:val="24"/>
                                <w:szCs w:val="24"/>
                              </w:rPr>
                              <w:t>’ and a more public role for research.</w:t>
                            </w: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Pr="00EB6D40" w:rsidRDefault="00782BF6" w:rsidP="00782BF6">
                            <w:pPr>
                              <w:pStyle w:val="ListParagraph"/>
                              <w:spacing w:after="0" w:line="240" w:lineRule="auto"/>
                              <w:ind w:left="284" w:hanging="284"/>
                              <w:rPr>
                                <w:b/>
                                <w:color w:val="0070C0"/>
                                <w:sz w:val="24"/>
                                <w:szCs w:val="24"/>
                              </w:rPr>
                            </w:pPr>
                            <w:r w:rsidRPr="00B70223">
                              <w:rPr>
                                <w:b/>
                                <w:color w:val="0070C0"/>
                                <w:sz w:val="24"/>
                                <w:szCs w:val="24"/>
                              </w:rPr>
                              <w:t xml:space="preserve">3. </w:t>
                            </w:r>
                            <w:r w:rsidRPr="00EB6D40">
                              <w:rPr>
                                <w:b/>
                                <w:color w:val="0070C0"/>
                                <w:sz w:val="24"/>
                                <w:szCs w:val="24"/>
                                <w:u w:val="single"/>
                              </w:rPr>
                              <w:t>Identifying gaps in understanding:</w:t>
                            </w:r>
                            <w:r w:rsidRPr="00EB6D40">
                              <w:rPr>
                                <w:b/>
                                <w:color w:val="0070C0"/>
                                <w:sz w:val="24"/>
                                <w:szCs w:val="24"/>
                              </w:rPr>
                              <w:t xml:space="preserve"> </w:t>
                            </w:r>
                            <w:r w:rsidRPr="00EB6D40">
                              <w:rPr>
                                <w:color w:val="0070C0"/>
                                <w:sz w:val="24"/>
                                <w:szCs w:val="24"/>
                              </w:rPr>
                              <w:t>‘we need to fully understand…there is a need to identify…</w:t>
                            </w:r>
                          </w:p>
                          <w:p w:rsidR="00782BF6" w:rsidRPr="00EB6D40" w:rsidRDefault="00782BF6" w:rsidP="00782BF6">
                            <w:pPr>
                              <w:pStyle w:val="ListParagraph"/>
                              <w:spacing w:after="0" w:line="240" w:lineRule="auto"/>
                              <w:ind w:left="284"/>
                              <w:rPr>
                                <w:b/>
                                <w:color w:val="0070C0"/>
                                <w:sz w:val="24"/>
                                <w:szCs w:val="24"/>
                              </w:rPr>
                            </w:pPr>
                          </w:p>
                          <w:p w:rsidR="00782BF6" w:rsidRPr="00EB6D40" w:rsidRDefault="00782BF6" w:rsidP="00782BF6">
                            <w:pPr>
                              <w:pStyle w:val="ListParagraph"/>
                              <w:spacing w:after="0" w:line="240" w:lineRule="auto"/>
                              <w:ind w:left="284"/>
                              <w:rPr>
                                <w:b/>
                                <w:color w:val="0070C0"/>
                                <w:sz w:val="24"/>
                                <w:szCs w:val="24"/>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Pr="00EB6D40" w:rsidRDefault="00782BF6" w:rsidP="00782BF6">
                            <w:pPr>
                              <w:pStyle w:val="ListParagraph"/>
                              <w:spacing w:after="0" w:line="240" w:lineRule="auto"/>
                              <w:ind w:left="284" w:hanging="284"/>
                              <w:rPr>
                                <w:b/>
                                <w:color w:val="59B14D"/>
                                <w:sz w:val="24"/>
                                <w:szCs w:val="24"/>
                              </w:rPr>
                            </w:pPr>
                            <w:r>
                              <w:rPr>
                                <w:b/>
                                <w:color w:val="59B14D"/>
                                <w:sz w:val="24"/>
                                <w:szCs w:val="24"/>
                              </w:rPr>
                              <w:t xml:space="preserve">4. </w:t>
                            </w:r>
                            <w:r w:rsidRPr="00EB6D40">
                              <w:rPr>
                                <w:b/>
                                <w:color w:val="59B14D"/>
                                <w:sz w:val="24"/>
                                <w:szCs w:val="24"/>
                                <w:u w:val="single"/>
                              </w:rPr>
                              <w:t>Reminder about the research focus:</w:t>
                            </w:r>
                            <w:r w:rsidRPr="00EB6D40">
                              <w:rPr>
                                <w:color w:val="59B14D"/>
                                <w:sz w:val="24"/>
                                <w:szCs w:val="24"/>
                              </w:rPr>
                              <w:t xml:space="preserve"> </w:t>
                            </w:r>
                            <w:r w:rsidRPr="00EB6D40">
                              <w:rPr>
                                <w:b/>
                                <w:color w:val="59B14D"/>
                                <w:sz w:val="24"/>
                                <w:szCs w:val="24"/>
                              </w:rPr>
                              <w:t>traditional, practice-based and professional doctoral studies</w:t>
                            </w:r>
                            <w:r w:rsidRPr="00EB6D40">
                              <w:rPr>
                                <w:b/>
                                <w:sz w:val="24"/>
                                <w:szCs w:val="24"/>
                              </w:rPr>
                              <w:t>.</w:t>
                            </w: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Pr="00EB6D40" w:rsidRDefault="00782BF6" w:rsidP="00782BF6">
                            <w:pPr>
                              <w:spacing w:after="0" w:line="240" w:lineRule="auto"/>
                              <w:ind w:left="284" w:hanging="284"/>
                              <w:rPr>
                                <w:b/>
                                <w:color w:val="C81688"/>
                                <w:sz w:val="24"/>
                                <w:szCs w:val="24"/>
                              </w:rPr>
                            </w:pPr>
                            <w:r w:rsidRPr="00EB6D40">
                              <w:rPr>
                                <w:b/>
                                <w:color w:val="C81688"/>
                                <w:sz w:val="24"/>
                                <w:szCs w:val="24"/>
                              </w:rPr>
                              <w:t>5.</w:t>
                            </w:r>
                            <w:r>
                              <w:rPr>
                                <w:b/>
                                <w:color w:val="C81688"/>
                                <w:sz w:val="24"/>
                                <w:szCs w:val="24"/>
                              </w:rPr>
                              <w:t xml:space="preserve"> </w:t>
                            </w:r>
                            <w:r w:rsidRPr="00EB6D40">
                              <w:rPr>
                                <w:b/>
                                <w:color w:val="C81688"/>
                                <w:sz w:val="24"/>
                                <w:szCs w:val="24"/>
                                <w:u w:val="single"/>
                              </w:rPr>
                              <w:t>Scope:</w:t>
                            </w:r>
                            <w:r>
                              <w:rPr>
                                <w:b/>
                                <w:color w:val="C81688"/>
                                <w:sz w:val="24"/>
                                <w:szCs w:val="24"/>
                              </w:rPr>
                              <w:t xml:space="preserve"> </w:t>
                            </w:r>
                            <w:r w:rsidRPr="00EB6D40">
                              <w:rPr>
                                <w:color w:val="C81688"/>
                                <w:sz w:val="24"/>
                                <w:szCs w:val="24"/>
                              </w:rPr>
                              <w:t>Mainly Australian doctoral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8D595" id="_x0000_t202" coordsize="21600,21600" o:spt="202" path="m,l,21600r21600,l21600,xe">
                <v:stroke joinstyle="miter"/>
                <v:path gradientshapeok="t" o:connecttype="rect"/>
              </v:shapetype>
              <v:shape id="Text Box 2" o:spid="_x0000_s1026" type="#_x0000_t202" style="position:absolute;margin-left:355.9pt;margin-top:4.45pt;width:132pt;height:6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" fillcolor="white [3201]" strokeweight=".5pt">
                <v:textbox>
                  <w:txbxContent>
                    <w:p w:rsidR="00782BF6" w:rsidRPr="00B70223" w:rsidRDefault="00782BF6" w:rsidP="00782BF6">
                      <w:pPr>
                        <w:pStyle w:val="ListParagraph"/>
                        <w:numPr>
                          <w:ilvl w:val="0"/>
                          <w:numId w:val="2"/>
                        </w:numPr>
                        <w:spacing w:after="0" w:line="240" w:lineRule="auto"/>
                        <w:ind w:left="284" w:hanging="284"/>
                        <w:rPr>
                          <w:b/>
                          <w:bCs/>
                          <w:color w:val="C00000"/>
                          <w:sz w:val="24"/>
                          <w:szCs w:val="24"/>
                        </w:rPr>
                      </w:pPr>
                      <w:r w:rsidRPr="00B70223">
                        <w:rPr>
                          <w:b/>
                          <w:bCs/>
                          <w:color w:val="C00000"/>
                          <w:sz w:val="24"/>
                          <w:szCs w:val="24"/>
                          <w:u w:val="single"/>
                        </w:rPr>
                        <w:t>General context</w:t>
                      </w:r>
                      <w:r w:rsidRPr="00B70223">
                        <w:rPr>
                          <w:b/>
                          <w:bCs/>
                          <w:color w:val="C00000"/>
                          <w:sz w:val="24"/>
                          <w:szCs w:val="24"/>
                        </w:rPr>
                        <w:t>:</w:t>
                      </w:r>
                    </w:p>
                    <w:p w:rsidR="00782BF6" w:rsidRDefault="00782BF6" w:rsidP="00782BF6">
                      <w:pPr>
                        <w:pStyle w:val="ListParagraph"/>
                        <w:ind w:left="284"/>
                        <w:rPr>
                          <w:bCs/>
                          <w:color w:val="C00000"/>
                          <w:sz w:val="24"/>
                          <w:szCs w:val="24"/>
                        </w:rPr>
                      </w:pPr>
                      <w:r w:rsidRPr="000861EE">
                        <w:rPr>
                          <w:bCs/>
                          <w:color w:val="C00000"/>
                          <w:sz w:val="24"/>
                          <w:szCs w:val="24"/>
                        </w:rPr>
                        <w:t>Changes in the degree structure reflect changes in university options &amp; functions.</w:t>
                      </w:r>
                    </w:p>
                    <w:p w:rsidR="00782BF6" w:rsidRPr="000861EE" w:rsidRDefault="00782BF6" w:rsidP="00782BF6">
                      <w:pPr>
                        <w:pStyle w:val="ListParagraph"/>
                        <w:ind w:left="284"/>
                        <w:rPr>
                          <w:bCs/>
                          <w:color w:val="C00000"/>
                          <w:sz w:val="24"/>
                          <w:szCs w:val="24"/>
                        </w:rPr>
                      </w:pPr>
                    </w:p>
                    <w:p w:rsidR="00782BF6" w:rsidRPr="00B70223" w:rsidRDefault="00782BF6" w:rsidP="00782BF6">
                      <w:pPr>
                        <w:spacing w:after="0" w:line="240" w:lineRule="auto"/>
                        <w:rPr>
                          <w:b/>
                          <w:bCs/>
                          <w:color w:val="7030A0"/>
                          <w:sz w:val="24"/>
                          <w:szCs w:val="24"/>
                          <w:u w:val="single"/>
                        </w:rPr>
                      </w:pPr>
                      <w:r w:rsidRPr="00B70223">
                        <w:rPr>
                          <w:b/>
                          <w:bCs/>
                          <w:color w:val="7030A0"/>
                          <w:sz w:val="24"/>
                          <w:szCs w:val="24"/>
                        </w:rPr>
                        <w:t xml:space="preserve">2.  </w:t>
                      </w:r>
                      <w:r w:rsidRPr="00B70223">
                        <w:rPr>
                          <w:b/>
                          <w:bCs/>
                          <w:color w:val="7030A0"/>
                          <w:sz w:val="24"/>
                          <w:szCs w:val="24"/>
                          <w:u w:val="single"/>
                        </w:rPr>
                        <w:t xml:space="preserve">More specific   </w:t>
                      </w:r>
                    </w:p>
                    <w:p w:rsidR="00782BF6" w:rsidRDefault="00782BF6" w:rsidP="00782BF6">
                      <w:pPr>
                        <w:spacing w:after="0" w:line="240" w:lineRule="auto"/>
                        <w:ind w:left="142"/>
                        <w:rPr>
                          <w:bCs/>
                          <w:color w:val="7030A0"/>
                          <w:sz w:val="24"/>
                          <w:szCs w:val="24"/>
                        </w:rPr>
                      </w:pPr>
                      <w:r w:rsidRPr="000861EE">
                        <w:rPr>
                          <w:b/>
                          <w:bCs/>
                          <w:color w:val="7030A0"/>
                          <w:sz w:val="24"/>
                          <w:szCs w:val="24"/>
                        </w:rPr>
                        <w:t xml:space="preserve">  </w:t>
                      </w:r>
                      <w:r w:rsidRPr="000861EE">
                        <w:rPr>
                          <w:b/>
                          <w:bCs/>
                          <w:color w:val="7030A0"/>
                          <w:sz w:val="24"/>
                          <w:szCs w:val="24"/>
                          <w:u w:val="single"/>
                        </w:rPr>
                        <w:t>context</w:t>
                      </w:r>
                      <w:r>
                        <w:rPr>
                          <w:bCs/>
                          <w:color w:val="7030A0"/>
                          <w:sz w:val="24"/>
                          <w:szCs w:val="24"/>
                        </w:rPr>
                        <w:t>: the</w:t>
                      </w:r>
                      <w:r w:rsidRPr="000861EE">
                        <w:rPr>
                          <w:bCs/>
                          <w:color w:val="7030A0"/>
                          <w:sz w:val="24"/>
                          <w:szCs w:val="24"/>
                        </w:rPr>
                        <w:t xml:space="preserve">se </w:t>
                      </w:r>
                      <w:r>
                        <w:rPr>
                          <w:bCs/>
                          <w:color w:val="7030A0"/>
                          <w:sz w:val="24"/>
                          <w:szCs w:val="24"/>
                        </w:rPr>
                        <w:t xml:space="preserve"> </w:t>
                      </w:r>
                    </w:p>
                    <w:p w:rsidR="00782BF6" w:rsidRDefault="00782BF6" w:rsidP="00782BF6">
                      <w:pPr>
                        <w:spacing w:after="0" w:line="240" w:lineRule="auto"/>
                        <w:ind w:left="284"/>
                        <w:rPr>
                          <w:bCs/>
                          <w:color w:val="7030A0"/>
                          <w:sz w:val="24"/>
                          <w:szCs w:val="24"/>
                        </w:rPr>
                      </w:pPr>
                      <w:r w:rsidRPr="000861EE">
                        <w:rPr>
                          <w:bCs/>
                          <w:color w:val="7030A0"/>
                          <w:sz w:val="24"/>
                          <w:szCs w:val="24"/>
                        </w:rPr>
                        <w:t xml:space="preserve">changes include an </w:t>
                      </w:r>
                      <w:r>
                        <w:rPr>
                          <w:bCs/>
                          <w:color w:val="7030A0"/>
                          <w:sz w:val="24"/>
                          <w:szCs w:val="24"/>
                        </w:rPr>
                        <w:t xml:space="preserve">   </w:t>
                      </w:r>
                      <w:r w:rsidRPr="000861EE">
                        <w:rPr>
                          <w:bCs/>
                          <w:color w:val="7030A0"/>
                          <w:sz w:val="24"/>
                          <w:szCs w:val="24"/>
                        </w:rPr>
                        <w:t>environment of ‘</w:t>
                      </w:r>
                      <w:proofErr w:type="spellStart"/>
                      <w:r w:rsidRPr="000861EE">
                        <w:rPr>
                          <w:bCs/>
                          <w:color w:val="7030A0"/>
                          <w:sz w:val="24"/>
                          <w:szCs w:val="24"/>
                        </w:rPr>
                        <w:t>supercomplexity</w:t>
                      </w:r>
                      <w:proofErr w:type="spellEnd"/>
                      <w:r w:rsidRPr="000861EE">
                        <w:rPr>
                          <w:bCs/>
                          <w:color w:val="7030A0"/>
                          <w:sz w:val="24"/>
                          <w:szCs w:val="24"/>
                        </w:rPr>
                        <w:t>’ and a more public role for research.</w:t>
                      </w: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Default="00782BF6" w:rsidP="00782BF6">
                      <w:pPr>
                        <w:spacing w:after="0" w:line="240" w:lineRule="auto"/>
                        <w:ind w:left="284"/>
                        <w:rPr>
                          <w:bCs/>
                          <w:color w:val="7030A0"/>
                          <w:sz w:val="24"/>
                          <w:szCs w:val="24"/>
                        </w:rPr>
                      </w:pPr>
                    </w:p>
                    <w:p w:rsidR="00782BF6" w:rsidRPr="00EB6D40" w:rsidRDefault="00782BF6" w:rsidP="00782BF6">
                      <w:pPr>
                        <w:pStyle w:val="ListParagraph"/>
                        <w:spacing w:after="0" w:line="240" w:lineRule="auto"/>
                        <w:ind w:left="284" w:hanging="284"/>
                        <w:rPr>
                          <w:b/>
                          <w:color w:val="0070C0"/>
                          <w:sz w:val="24"/>
                          <w:szCs w:val="24"/>
                        </w:rPr>
                      </w:pPr>
                      <w:r w:rsidRPr="00B70223">
                        <w:rPr>
                          <w:b/>
                          <w:color w:val="0070C0"/>
                          <w:sz w:val="24"/>
                          <w:szCs w:val="24"/>
                        </w:rPr>
                        <w:t xml:space="preserve">3. </w:t>
                      </w:r>
                      <w:r w:rsidRPr="00EB6D40">
                        <w:rPr>
                          <w:b/>
                          <w:color w:val="0070C0"/>
                          <w:sz w:val="24"/>
                          <w:szCs w:val="24"/>
                          <w:u w:val="single"/>
                        </w:rPr>
                        <w:t>Identifying gaps in understanding:</w:t>
                      </w:r>
                      <w:r w:rsidRPr="00EB6D40">
                        <w:rPr>
                          <w:b/>
                          <w:color w:val="0070C0"/>
                          <w:sz w:val="24"/>
                          <w:szCs w:val="24"/>
                        </w:rPr>
                        <w:t xml:space="preserve"> </w:t>
                      </w:r>
                      <w:r w:rsidRPr="00EB6D40">
                        <w:rPr>
                          <w:color w:val="0070C0"/>
                          <w:sz w:val="24"/>
                          <w:szCs w:val="24"/>
                        </w:rPr>
                        <w:t>‘we need to fully understand…there is a need to identify…</w:t>
                      </w:r>
                    </w:p>
                    <w:p w:rsidR="00782BF6" w:rsidRPr="00EB6D40" w:rsidRDefault="00782BF6" w:rsidP="00782BF6">
                      <w:pPr>
                        <w:pStyle w:val="ListParagraph"/>
                        <w:spacing w:after="0" w:line="240" w:lineRule="auto"/>
                        <w:ind w:left="284"/>
                        <w:rPr>
                          <w:b/>
                          <w:color w:val="0070C0"/>
                          <w:sz w:val="24"/>
                          <w:szCs w:val="24"/>
                        </w:rPr>
                      </w:pPr>
                    </w:p>
                    <w:p w:rsidR="00782BF6" w:rsidRPr="00EB6D40" w:rsidRDefault="00782BF6" w:rsidP="00782BF6">
                      <w:pPr>
                        <w:pStyle w:val="ListParagraph"/>
                        <w:spacing w:after="0" w:line="240" w:lineRule="auto"/>
                        <w:ind w:left="284"/>
                        <w:rPr>
                          <w:b/>
                          <w:color w:val="0070C0"/>
                          <w:sz w:val="24"/>
                          <w:szCs w:val="24"/>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Default="00782BF6" w:rsidP="00782BF6">
                      <w:pPr>
                        <w:pStyle w:val="ListParagraph"/>
                        <w:spacing w:after="0" w:line="240" w:lineRule="auto"/>
                        <w:ind w:left="284"/>
                        <w:rPr>
                          <w:b/>
                          <w:color w:val="59B14D"/>
                          <w:sz w:val="24"/>
                          <w:szCs w:val="24"/>
                          <w:u w:val="single"/>
                        </w:rPr>
                      </w:pPr>
                    </w:p>
                    <w:p w:rsidR="00782BF6" w:rsidRPr="00EB6D40" w:rsidRDefault="00782BF6" w:rsidP="00782BF6">
                      <w:pPr>
                        <w:pStyle w:val="ListParagraph"/>
                        <w:spacing w:after="0" w:line="240" w:lineRule="auto"/>
                        <w:ind w:left="284" w:hanging="284"/>
                        <w:rPr>
                          <w:b/>
                          <w:color w:val="59B14D"/>
                          <w:sz w:val="24"/>
                          <w:szCs w:val="24"/>
                        </w:rPr>
                      </w:pPr>
                      <w:r>
                        <w:rPr>
                          <w:b/>
                          <w:color w:val="59B14D"/>
                          <w:sz w:val="24"/>
                          <w:szCs w:val="24"/>
                        </w:rPr>
                        <w:t xml:space="preserve">4. </w:t>
                      </w:r>
                      <w:r w:rsidRPr="00EB6D40">
                        <w:rPr>
                          <w:b/>
                          <w:color w:val="59B14D"/>
                          <w:sz w:val="24"/>
                          <w:szCs w:val="24"/>
                          <w:u w:val="single"/>
                        </w:rPr>
                        <w:t>Reminder about the research focus:</w:t>
                      </w:r>
                      <w:r w:rsidRPr="00EB6D40">
                        <w:rPr>
                          <w:color w:val="59B14D"/>
                          <w:sz w:val="24"/>
                          <w:szCs w:val="24"/>
                        </w:rPr>
                        <w:t xml:space="preserve"> </w:t>
                      </w:r>
                      <w:r w:rsidRPr="00EB6D40">
                        <w:rPr>
                          <w:b/>
                          <w:color w:val="59B14D"/>
                          <w:sz w:val="24"/>
                          <w:szCs w:val="24"/>
                        </w:rPr>
                        <w:t>traditional, practice-based and professional doctoral studies</w:t>
                      </w:r>
                      <w:r w:rsidRPr="00EB6D40">
                        <w:rPr>
                          <w:b/>
                          <w:sz w:val="24"/>
                          <w:szCs w:val="24"/>
                        </w:rPr>
                        <w:t>.</w:t>
                      </w: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Default="00782BF6" w:rsidP="00782BF6">
                      <w:pPr>
                        <w:spacing w:after="0" w:line="240" w:lineRule="auto"/>
                        <w:rPr>
                          <w:b/>
                          <w:sz w:val="24"/>
                          <w:szCs w:val="24"/>
                        </w:rPr>
                      </w:pPr>
                    </w:p>
                    <w:p w:rsidR="00782BF6" w:rsidRPr="00EB6D40" w:rsidRDefault="00782BF6" w:rsidP="00782BF6">
                      <w:pPr>
                        <w:spacing w:after="0" w:line="240" w:lineRule="auto"/>
                        <w:ind w:left="284" w:hanging="284"/>
                        <w:rPr>
                          <w:b/>
                          <w:color w:val="C81688"/>
                          <w:sz w:val="24"/>
                          <w:szCs w:val="24"/>
                        </w:rPr>
                      </w:pPr>
                      <w:r w:rsidRPr="00EB6D40">
                        <w:rPr>
                          <w:b/>
                          <w:color w:val="C81688"/>
                          <w:sz w:val="24"/>
                          <w:szCs w:val="24"/>
                        </w:rPr>
                        <w:t>5.</w:t>
                      </w:r>
                      <w:r>
                        <w:rPr>
                          <w:b/>
                          <w:color w:val="C81688"/>
                          <w:sz w:val="24"/>
                          <w:szCs w:val="24"/>
                        </w:rPr>
                        <w:t xml:space="preserve"> </w:t>
                      </w:r>
                      <w:r w:rsidRPr="00EB6D40">
                        <w:rPr>
                          <w:b/>
                          <w:color w:val="C81688"/>
                          <w:sz w:val="24"/>
                          <w:szCs w:val="24"/>
                          <w:u w:val="single"/>
                        </w:rPr>
                        <w:t>Scope:</w:t>
                      </w:r>
                      <w:r>
                        <w:rPr>
                          <w:b/>
                          <w:color w:val="C81688"/>
                          <w:sz w:val="24"/>
                          <w:szCs w:val="24"/>
                        </w:rPr>
                        <w:t xml:space="preserve"> </w:t>
                      </w:r>
                      <w:r w:rsidRPr="00EB6D40">
                        <w:rPr>
                          <w:color w:val="C81688"/>
                          <w:sz w:val="24"/>
                          <w:szCs w:val="24"/>
                        </w:rPr>
                        <w:t>Mainly Australian doctoral programs.</w:t>
                      </w:r>
                    </w:p>
                  </w:txbxContent>
                </v:textbox>
              </v:shape>
            </w:pict>
          </mc:Fallback>
        </mc:AlternateContent>
      </w:r>
      <w:r w:rsidRPr="00AA6AED">
        <w:rPr>
          <w:noProof/>
        </w:rPr>
        <mc:AlternateContent>
          <mc:Choice Requires="wps">
            <w:drawing>
              <wp:anchor distT="45720" distB="45720" distL="114300" distR="114300" simplePos="0" relativeHeight="251659264" behindDoc="0" locked="0" layoutInCell="1" allowOverlap="1" wp14:anchorId="6E85110D" wp14:editId="01EC0A20">
                <wp:simplePos x="0" y="0"/>
                <wp:positionH relativeFrom="margin">
                  <wp:align>left</wp:align>
                </wp:positionH>
                <wp:positionV relativeFrom="paragraph">
                  <wp:posOffset>59055</wp:posOffset>
                </wp:positionV>
                <wp:extent cx="4305300" cy="877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772525"/>
                        </a:xfrm>
                        <a:prstGeom prst="rect">
                          <a:avLst/>
                        </a:prstGeom>
                        <a:solidFill>
                          <a:srgbClr val="FFFFFF"/>
                        </a:solidFill>
                        <a:ln w="9525">
                          <a:solidFill>
                            <a:srgbClr val="000000"/>
                          </a:solidFill>
                          <a:miter lim="800000"/>
                          <a:headEnd/>
                          <a:tailEnd/>
                        </a:ln>
                      </wps:spPr>
                      <wps:txbx>
                        <w:txbxContent>
                          <w:p w:rsidR="00782BF6" w:rsidRPr="00EB6D40" w:rsidRDefault="00782BF6" w:rsidP="00782BF6">
                            <w:pPr>
                              <w:pStyle w:val="Default"/>
                              <w:rPr>
                                <w:rFonts w:asciiTheme="minorHAnsi" w:hAnsiTheme="minorHAnsi" w:cstheme="minorHAnsi"/>
                                <w:color w:val="59B14D"/>
                                <w:sz w:val="28"/>
                                <w:szCs w:val="28"/>
                              </w:rPr>
                            </w:pPr>
                            <w:r w:rsidRPr="000861EE">
                              <w:rPr>
                                <w:rFonts w:asciiTheme="minorHAnsi" w:hAnsiTheme="minorHAnsi" w:cstheme="minorHAnsi"/>
                                <w:b/>
                                <w:bCs/>
                                <w:color w:val="C00000"/>
                                <w:sz w:val="28"/>
                                <w:szCs w:val="28"/>
                              </w:rPr>
                              <w:t>The current and developing changes in purpose, epistemologies, methodologies and literacies of the higher degree by research (</w:t>
                            </w:r>
                            <w:proofErr w:type="spellStart"/>
                            <w:r w:rsidRPr="000861EE">
                              <w:rPr>
                                <w:rFonts w:asciiTheme="minorHAnsi" w:hAnsiTheme="minorHAnsi" w:cstheme="minorHAnsi"/>
                                <w:b/>
                                <w:bCs/>
                                <w:color w:val="C00000"/>
                                <w:sz w:val="28"/>
                                <w:szCs w:val="28"/>
                              </w:rPr>
                              <w:t>HDR</w:t>
                            </w:r>
                            <w:proofErr w:type="spellEnd"/>
                            <w:r w:rsidRPr="000861EE">
                              <w:rPr>
                                <w:rFonts w:asciiTheme="minorHAnsi" w:hAnsiTheme="minorHAnsi" w:cstheme="minorHAnsi"/>
                                <w:b/>
                                <w:bCs/>
                                <w:color w:val="C00000"/>
                                <w:sz w:val="28"/>
                                <w:szCs w:val="28"/>
                              </w:rPr>
                              <w:t>) have their roots in massive changes in operations and perceived functions. Along with the many debates around the nature of general changes in universities there has also been some engagement with the effects of these changes in the characteristics of awards generally</w:t>
                            </w:r>
                            <w:r w:rsidRPr="00AA6AED">
                              <w:rPr>
                                <w:rFonts w:asciiTheme="minorHAnsi" w:hAnsiTheme="minorHAnsi" w:cstheme="minorHAnsi"/>
                                <w:sz w:val="28"/>
                                <w:szCs w:val="28"/>
                              </w:rPr>
                              <w:t>,</w:t>
                            </w:r>
                            <w:r w:rsidRPr="000861EE">
                              <w:rPr>
                                <w:rFonts w:asciiTheme="minorHAnsi" w:hAnsiTheme="minorHAnsi" w:cstheme="minorHAnsi"/>
                                <w:color w:val="7030A0"/>
                                <w:sz w:val="28"/>
                                <w:szCs w:val="28"/>
                              </w:rPr>
                              <w:t xml:space="preserve"> </w:t>
                            </w:r>
                            <w:r w:rsidRPr="000861EE">
                              <w:rPr>
                                <w:rFonts w:asciiTheme="minorHAnsi" w:hAnsiTheme="minorHAnsi" w:cstheme="minorHAnsi"/>
                                <w:b/>
                                <w:bCs/>
                                <w:color w:val="7030A0"/>
                                <w:sz w:val="28"/>
                                <w:szCs w:val="28"/>
                              </w:rPr>
                              <w:t xml:space="preserve">including the </w:t>
                            </w:r>
                            <w:proofErr w:type="spellStart"/>
                            <w:r w:rsidRPr="000861EE">
                              <w:rPr>
                                <w:rFonts w:asciiTheme="minorHAnsi" w:hAnsiTheme="minorHAnsi" w:cstheme="minorHAnsi"/>
                                <w:b/>
                                <w:bCs/>
                                <w:color w:val="7030A0"/>
                                <w:sz w:val="28"/>
                                <w:szCs w:val="28"/>
                              </w:rPr>
                              <w:t>HDR</w:t>
                            </w:r>
                            <w:proofErr w:type="spellEnd"/>
                            <w:r w:rsidRPr="000861EE">
                              <w:rPr>
                                <w:rFonts w:asciiTheme="minorHAnsi" w:hAnsiTheme="minorHAnsi" w:cstheme="minorHAnsi"/>
                                <w:b/>
                                <w:bCs/>
                                <w:color w:val="7030A0"/>
                                <w:sz w:val="28"/>
                                <w:szCs w:val="28"/>
                              </w:rPr>
                              <w:t xml:space="preserve">, and the doctoral degree specifically. Doctoral study needs to be seen </w:t>
                            </w:r>
                            <w:proofErr w:type="gramStart"/>
                            <w:r w:rsidRPr="000861EE">
                              <w:rPr>
                                <w:rFonts w:asciiTheme="minorHAnsi" w:hAnsiTheme="minorHAnsi" w:cstheme="minorHAnsi"/>
                                <w:b/>
                                <w:bCs/>
                                <w:color w:val="7030A0"/>
                                <w:sz w:val="28"/>
                                <w:szCs w:val="28"/>
                              </w:rPr>
                              <w:t>in light of</w:t>
                            </w:r>
                            <w:proofErr w:type="gramEnd"/>
                            <w:r w:rsidRPr="000861EE">
                              <w:rPr>
                                <w:rFonts w:asciiTheme="minorHAnsi" w:hAnsiTheme="minorHAnsi" w:cstheme="minorHAnsi"/>
                                <w:b/>
                                <w:bCs/>
                                <w:color w:val="7030A0"/>
                                <w:sz w:val="28"/>
                                <w:szCs w:val="28"/>
                              </w:rPr>
                              <w:t xml:space="preserve"> Barnett’s (2000) general recasting of the university </w:t>
                            </w:r>
                            <w:r w:rsidRPr="00AA6AED">
                              <w:rPr>
                                <w:rFonts w:asciiTheme="minorHAnsi" w:hAnsiTheme="minorHAnsi" w:cstheme="minorHAnsi"/>
                                <w:sz w:val="28"/>
                                <w:szCs w:val="28"/>
                              </w:rPr>
                              <w:t xml:space="preserve">as being engulfed in unremitting multiple frames of understanding which he calls </w:t>
                            </w:r>
                            <w:proofErr w:type="spellStart"/>
                            <w:r w:rsidRPr="00AA6AED">
                              <w:rPr>
                                <w:rFonts w:asciiTheme="minorHAnsi" w:hAnsiTheme="minorHAnsi" w:cstheme="minorHAnsi"/>
                                <w:sz w:val="28"/>
                                <w:szCs w:val="28"/>
                              </w:rPr>
                              <w:t>supercomplexity</w:t>
                            </w:r>
                            <w:proofErr w:type="spellEnd"/>
                            <w:r w:rsidRPr="00AA6AED">
                              <w:rPr>
                                <w:rFonts w:asciiTheme="minorHAnsi" w:hAnsiTheme="minorHAnsi" w:cstheme="minorHAnsi"/>
                                <w:sz w:val="28"/>
                                <w:szCs w:val="28"/>
                              </w:rPr>
                              <w:t xml:space="preserve">, making reframing research critical (Maxwell, 2002). </w:t>
                            </w:r>
                            <w:r w:rsidRPr="000861EE">
                              <w:rPr>
                                <w:rFonts w:asciiTheme="minorHAnsi" w:hAnsiTheme="minorHAnsi" w:cstheme="minorHAnsi"/>
                                <w:b/>
                                <w:bCs/>
                                <w:color w:val="7030A0"/>
                                <w:sz w:val="28"/>
                                <w:szCs w:val="28"/>
                              </w:rPr>
                              <w:t xml:space="preserve">It has also moved from ‘an elite but peripheral role, to occupy a more visible position’ </w:t>
                            </w:r>
                            <w:r w:rsidRPr="00AA6AED">
                              <w:rPr>
                                <w:rFonts w:asciiTheme="minorHAnsi" w:hAnsiTheme="minorHAnsi" w:cstheme="minorHAnsi"/>
                                <w:sz w:val="28"/>
                                <w:szCs w:val="28"/>
                              </w:rPr>
                              <w:t>(Neumann, 2002, p. 167), and although the message is clear that universities need to adapt to ensure their survival, it is also clear that</w:t>
                            </w:r>
                            <w:r w:rsidRPr="00EB6D40">
                              <w:rPr>
                                <w:rFonts w:asciiTheme="minorHAnsi" w:hAnsiTheme="minorHAnsi" w:cstheme="minorHAnsi"/>
                                <w:color w:val="59B14D"/>
                                <w:sz w:val="28"/>
                                <w:szCs w:val="28"/>
                              </w:rPr>
                              <w:t xml:space="preserve"> </w:t>
                            </w:r>
                            <w:r w:rsidRPr="00EB6D40">
                              <w:rPr>
                                <w:rFonts w:asciiTheme="minorHAnsi" w:hAnsiTheme="minorHAnsi" w:cstheme="minorHAnsi"/>
                                <w:b/>
                                <w:bCs/>
                                <w:color w:val="0070C0"/>
                                <w:sz w:val="28"/>
                                <w:szCs w:val="28"/>
                              </w:rPr>
                              <w:t>we need to fully understand in what ways the doctoral degrees may be evolving to ensure their survival</w:t>
                            </w:r>
                            <w:r w:rsidRPr="00EB6D40">
                              <w:rPr>
                                <w:rFonts w:asciiTheme="minorHAnsi" w:hAnsiTheme="minorHAnsi" w:cstheme="minorHAnsi"/>
                                <w:color w:val="0070C0"/>
                                <w:sz w:val="28"/>
                                <w:szCs w:val="28"/>
                              </w:rPr>
                              <w:t xml:space="preserve">. </w:t>
                            </w:r>
                            <w:r w:rsidRPr="00AA6AED">
                              <w:rPr>
                                <w:rFonts w:asciiTheme="minorHAnsi" w:hAnsiTheme="minorHAnsi" w:cstheme="minorHAnsi"/>
                                <w:sz w:val="28"/>
                                <w:szCs w:val="28"/>
                              </w:rPr>
                              <w:t xml:space="preserve">As an important element of universities, </w:t>
                            </w:r>
                            <w:r w:rsidRPr="00EB6D40">
                              <w:rPr>
                                <w:rFonts w:asciiTheme="minorHAnsi" w:hAnsiTheme="minorHAnsi" w:cstheme="minorHAnsi"/>
                                <w:b/>
                                <w:bCs/>
                                <w:color w:val="0070C0"/>
                                <w:sz w:val="28"/>
                                <w:szCs w:val="28"/>
                              </w:rPr>
                              <w:t xml:space="preserve">there is a need to identify the impact of the changing political economy on doctoral degrees in terms of institutional and government policy, doctoral candidates, supervisors and examiners. </w:t>
                            </w:r>
                          </w:p>
                          <w:p w:rsidR="00782BF6" w:rsidRPr="00EB6D40" w:rsidRDefault="00782BF6" w:rsidP="00782BF6">
                            <w:pPr>
                              <w:rPr>
                                <w:color w:val="59B14D"/>
                                <w:sz w:val="28"/>
                                <w:szCs w:val="28"/>
                              </w:rPr>
                            </w:pPr>
                          </w:p>
                          <w:p w:rsidR="00782BF6" w:rsidRPr="00AA6AED" w:rsidRDefault="00782BF6" w:rsidP="00782BF6">
                            <w:pPr>
                              <w:rPr>
                                <w:sz w:val="28"/>
                                <w:szCs w:val="28"/>
                              </w:rPr>
                            </w:pPr>
                            <w:r w:rsidRPr="00AA6AED">
                              <w:rPr>
                                <w:sz w:val="28"/>
                                <w:szCs w:val="28"/>
                              </w:rPr>
                              <w:t xml:space="preserve">This chapter begins by briefly describing the history, definitions and values of the doctoral degree before providing a critical review of the literature, identifying and analysing current knowledge and understanding </w:t>
                            </w:r>
                            <w:r w:rsidRPr="00EB6D40">
                              <w:rPr>
                                <w:b/>
                                <w:bCs/>
                                <w:color w:val="59B14D"/>
                                <w:sz w:val="28"/>
                                <w:szCs w:val="28"/>
                              </w:rPr>
                              <w:t xml:space="preserve">surrounding the research focus of traditional, practice-based and professional doctoral study. </w:t>
                            </w:r>
                            <w:r w:rsidRPr="00AA6AED">
                              <w:rPr>
                                <w:sz w:val="28"/>
                                <w:szCs w:val="28"/>
                              </w:rPr>
                              <w:t xml:space="preserve">New forms of knowledge and innovations in doctoral degrees are discussed followed by issues in doctoral practice. Where salient, comparisons will be made between doctoral programs in Australia and elsewhere, although </w:t>
                            </w:r>
                            <w:r w:rsidRPr="00EB6D40">
                              <w:rPr>
                                <w:b/>
                                <w:bCs/>
                                <w:color w:val="C81688"/>
                                <w:sz w:val="28"/>
                                <w:szCs w:val="28"/>
                              </w:rPr>
                              <w:t>discussion is mainly focused on the situation in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110D" id="_x0000_s1027" type="#_x0000_t202" style="position:absolute;margin-left:0;margin-top:4.65pt;width:339pt;height:6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">
                <v:textbox>
                  <w:txbxContent>
                    <w:p w:rsidR="00782BF6" w:rsidRPr="00EB6D40" w:rsidRDefault="00782BF6" w:rsidP="00782BF6">
                      <w:pPr>
                        <w:pStyle w:val="Default"/>
                        <w:rPr>
                          <w:rFonts w:asciiTheme="minorHAnsi" w:hAnsiTheme="minorHAnsi" w:cstheme="minorHAnsi"/>
                          <w:color w:val="59B14D"/>
                          <w:sz w:val="28"/>
                          <w:szCs w:val="28"/>
                        </w:rPr>
                      </w:pPr>
                      <w:r w:rsidRPr="000861EE">
                        <w:rPr>
                          <w:rFonts w:asciiTheme="minorHAnsi" w:hAnsiTheme="minorHAnsi" w:cstheme="minorHAnsi"/>
                          <w:b/>
                          <w:bCs/>
                          <w:color w:val="C00000"/>
                          <w:sz w:val="28"/>
                          <w:szCs w:val="28"/>
                        </w:rPr>
                        <w:t>The current and developing changes in purpose, epistemologies, methodologies and literacies of the higher degree by research (</w:t>
                      </w:r>
                      <w:proofErr w:type="spellStart"/>
                      <w:r w:rsidRPr="000861EE">
                        <w:rPr>
                          <w:rFonts w:asciiTheme="minorHAnsi" w:hAnsiTheme="minorHAnsi" w:cstheme="minorHAnsi"/>
                          <w:b/>
                          <w:bCs/>
                          <w:color w:val="C00000"/>
                          <w:sz w:val="28"/>
                          <w:szCs w:val="28"/>
                        </w:rPr>
                        <w:t>HDR</w:t>
                      </w:r>
                      <w:proofErr w:type="spellEnd"/>
                      <w:r w:rsidRPr="000861EE">
                        <w:rPr>
                          <w:rFonts w:asciiTheme="minorHAnsi" w:hAnsiTheme="minorHAnsi" w:cstheme="minorHAnsi"/>
                          <w:b/>
                          <w:bCs/>
                          <w:color w:val="C00000"/>
                          <w:sz w:val="28"/>
                          <w:szCs w:val="28"/>
                        </w:rPr>
                        <w:t>) have their roots in massive changes in operations and perceived functions. Along with the many debates around the nature of general changes in universities there has also been some engagement with the effects of these changes in the characteristics of awards generally</w:t>
                      </w:r>
                      <w:r w:rsidRPr="00AA6AED">
                        <w:rPr>
                          <w:rFonts w:asciiTheme="minorHAnsi" w:hAnsiTheme="minorHAnsi" w:cstheme="minorHAnsi"/>
                          <w:sz w:val="28"/>
                          <w:szCs w:val="28"/>
                        </w:rPr>
                        <w:t>,</w:t>
                      </w:r>
                      <w:r w:rsidRPr="000861EE">
                        <w:rPr>
                          <w:rFonts w:asciiTheme="minorHAnsi" w:hAnsiTheme="minorHAnsi" w:cstheme="minorHAnsi"/>
                          <w:color w:val="7030A0"/>
                          <w:sz w:val="28"/>
                          <w:szCs w:val="28"/>
                        </w:rPr>
                        <w:t xml:space="preserve"> </w:t>
                      </w:r>
                      <w:r w:rsidRPr="000861EE">
                        <w:rPr>
                          <w:rFonts w:asciiTheme="minorHAnsi" w:hAnsiTheme="minorHAnsi" w:cstheme="minorHAnsi"/>
                          <w:b/>
                          <w:bCs/>
                          <w:color w:val="7030A0"/>
                          <w:sz w:val="28"/>
                          <w:szCs w:val="28"/>
                        </w:rPr>
                        <w:t xml:space="preserve">including the </w:t>
                      </w:r>
                      <w:proofErr w:type="spellStart"/>
                      <w:r w:rsidRPr="000861EE">
                        <w:rPr>
                          <w:rFonts w:asciiTheme="minorHAnsi" w:hAnsiTheme="minorHAnsi" w:cstheme="minorHAnsi"/>
                          <w:b/>
                          <w:bCs/>
                          <w:color w:val="7030A0"/>
                          <w:sz w:val="28"/>
                          <w:szCs w:val="28"/>
                        </w:rPr>
                        <w:t>HDR</w:t>
                      </w:r>
                      <w:proofErr w:type="spellEnd"/>
                      <w:r w:rsidRPr="000861EE">
                        <w:rPr>
                          <w:rFonts w:asciiTheme="minorHAnsi" w:hAnsiTheme="minorHAnsi" w:cstheme="minorHAnsi"/>
                          <w:b/>
                          <w:bCs/>
                          <w:color w:val="7030A0"/>
                          <w:sz w:val="28"/>
                          <w:szCs w:val="28"/>
                        </w:rPr>
                        <w:t xml:space="preserve">, and the doctoral degree specifically. Doctoral study needs to be seen </w:t>
                      </w:r>
                      <w:proofErr w:type="gramStart"/>
                      <w:r w:rsidRPr="000861EE">
                        <w:rPr>
                          <w:rFonts w:asciiTheme="minorHAnsi" w:hAnsiTheme="minorHAnsi" w:cstheme="minorHAnsi"/>
                          <w:b/>
                          <w:bCs/>
                          <w:color w:val="7030A0"/>
                          <w:sz w:val="28"/>
                          <w:szCs w:val="28"/>
                        </w:rPr>
                        <w:t>in light of</w:t>
                      </w:r>
                      <w:proofErr w:type="gramEnd"/>
                      <w:r w:rsidRPr="000861EE">
                        <w:rPr>
                          <w:rFonts w:asciiTheme="minorHAnsi" w:hAnsiTheme="minorHAnsi" w:cstheme="minorHAnsi"/>
                          <w:b/>
                          <w:bCs/>
                          <w:color w:val="7030A0"/>
                          <w:sz w:val="28"/>
                          <w:szCs w:val="28"/>
                        </w:rPr>
                        <w:t xml:space="preserve"> Barnett’s (2000) general recasting of the university </w:t>
                      </w:r>
                      <w:r w:rsidRPr="00AA6AED">
                        <w:rPr>
                          <w:rFonts w:asciiTheme="minorHAnsi" w:hAnsiTheme="minorHAnsi" w:cstheme="minorHAnsi"/>
                          <w:sz w:val="28"/>
                          <w:szCs w:val="28"/>
                        </w:rPr>
                        <w:t xml:space="preserve">as being engulfed in unremitting multiple frames of understanding which he calls </w:t>
                      </w:r>
                      <w:proofErr w:type="spellStart"/>
                      <w:r w:rsidRPr="00AA6AED">
                        <w:rPr>
                          <w:rFonts w:asciiTheme="minorHAnsi" w:hAnsiTheme="minorHAnsi" w:cstheme="minorHAnsi"/>
                          <w:sz w:val="28"/>
                          <w:szCs w:val="28"/>
                        </w:rPr>
                        <w:t>supercomplexity</w:t>
                      </w:r>
                      <w:proofErr w:type="spellEnd"/>
                      <w:r w:rsidRPr="00AA6AED">
                        <w:rPr>
                          <w:rFonts w:asciiTheme="minorHAnsi" w:hAnsiTheme="minorHAnsi" w:cstheme="minorHAnsi"/>
                          <w:sz w:val="28"/>
                          <w:szCs w:val="28"/>
                        </w:rPr>
                        <w:t xml:space="preserve">, making reframing research critical (Maxwell, 2002). </w:t>
                      </w:r>
                      <w:r w:rsidRPr="000861EE">
                        <w:rPr>
                          <w:rFonts w:asciiTheme="minorHAnsi" w:hAnsiTheme="minorHAnsi" w:cstheme="minorHAnsi"/>
                          <w:b/>
                          <w:bCs/>
                          <w:color w:val="7030A0"/>
                          <w:sz w:val="28"/>
                          <w:szCs w:val="28"/>
                        </w:rPr>
                        <w:t xml:space="preserve">It has also moved from ‘an elite but peripheral role, to occupy a more visible position’ </w:t>
                      </w:r>
                      <w:r w:rsidRPr="00AA6AED">
                        <w:rPr>
                          <w:rFonts w:asciiTheme="minorHAnsi" w:hAnsiTheme="minorHAnsi" w:cstheme="minorHAnsi"/>
                          <w:sz w:val="28"/>
                          <w:szCs w:val="28"/>
                        </w:rPr>
                        <w:t>(Neumann, 2002, p. 167), and although the message is clear that universities need to adapt to ensure their survival, it is also clear that</w:t>
                      </w:r>
                      <w:r w:rsidRPr="00EB6D40">
                        <w:rPr>
                          <w:rFonts w:asciiTheme="minorHAnsi" w:hAnsiTheme="minorHAnsi" w:cstheme="minorHAnsi"/>
                          <w:color w:val="59B14D"/>
                          <w:sz w:val="28"/>
                          <w:szCs w:val="28"/>
                        </w:rPr>
                        <w:t xml:space="preserve"> </w:t>
                      </w:r>
                      <w:r w:rsidRPr="00EB6D40">
                        <w:rPr>
                          <w:rFonts w:asciiTheme="minorHAnsi" w:hAnsiTheme="minorHAnsi" w:cstheme="minorHAnsi"/>
                          <w:b/>
                          <w:bCs/>
                          <w:color w:val="0070C0"/>
                          <w:sz w:val="28"/>
                          <w:szCs w:val="28"/>
                        </w:rPr>
                        <w:t>we need to fully understand in what ways the doctoral degrees may be evolving to ensure their survival</w:t>
                      </w:r>
                      <w:r w:rsidRPr="00EB6D40">
                        <w:rPr>
                          <w:rFonts w:asciiTheme="minorHAnsi" w:hAnsiTheme="minorHAnsi" w:cstheme="minorHAnsi"/>
                          <w:color w:val="0070C0"/>
                          <w:sz w:val="28"/>
                          <w:szCs w:val="28"/>
                        </w:rPr>
                        <w:t xml:space="preserve">. </w:t>
                      </w:r>
                      <w:r w:rsidRPr="00AA6AED">
                        <w:rPr>
                          <w:rFonts w:asciiTheme="minorHAnsi" w:hAnsiTheme="minorHAnsi" w:cstheme="minorHAnsi"/>
                          <w:sz w:val="28"/>
                          <w:szCs w:val="28"/>
                        </w:rPr>
                        <w:t xml:space="preserve">As an important element of universities, </w:t>
                      </w:r>
                      <w:r w:rsidRPr="00EB6D40">
                        <w:rPr>
                          <w:rFonts w:asciiTheme="minorHAnsi" w:hAnsiTheme="minorHAnsi" w:cstheme="minorHAnsi"/>
                          <w:b/>
                          <w:bCs/>
                          <w:color w:val="0070C0"/>
                          <w:sz w:val="28"/>
                          <w:szCs w:val="28"/>
                        </w:rPr>
                        <w:t xml:space="preserve">there is a need to identify the impact of the changing political economy on doctoral degrees in terms of institutional and government policy, doctoral candidates, supervisors and examiners. </w:t>
                      </w:r>
                    </w:p>
                    <w:p w:rsidR="00782BF6" w:rsidRPr="00EB6D40" w:rsidRDefault="00782BF6" w:rsidP="00782BF6">
                      <w:pPr>
                        <w:rPr>
                          <w:color w:val="59B14D"/>
                          <w:sz w:val="28"/>
                          <w:szCs w:val="28"/>
                        </w:rPr>
                      </w:pPr>
                    </w:p>
                    <w:p w:rsidR="00782BF6" w:rsidRPr="00AA6AED" w:rsidRDefault="00782BF6" w:rsidP="00782BF6">
                      <w:pPr>
                        <w:rPr>
                          <w:sz w:val="28"/>
                          <w:szCs w:val="28"/>
                        </w:rPr>
                      </w:pPr>
                      <w:r w:rsidRPr="00AA6AED">
                        <w:rPr>
                          <w:sz w:val="28"/>
                          <w:szCs w:val="28"/>
                        </w:rPr>
                        <w:t xml:space="preserve">This chapter begins by briefly describing the history, definitions and values of the doctoral degree before providing a critical review of the literature, identifying and analysing current knowledge and understanding </w:t>
                      </w:r>
                      <w:r w:rsidRPr="00EB6D40">
                        <w:rPr>
                          <w:b/>
                          <w:bCs/>
                          <w:color w:val="59B14D"/>
                          <w:sz w:val="28"/>
                          <w:szCs w:val="28"/>
                        </w:rPr>
                        <w:t xml:space="preserve">surrounding the research focus of traditional, practice-based and professional doctoral study. </w:t>
                      </w:r>
                      <w:r w:rsidRPr="00AA6AED">
                        <w:rPr>
                          <w:sz w:val="28"/>
                          <w:szCs w:val="28"/>
                        </w:rPr>
                        <w:t xml:space="preserve">New forms of knowledge and innovations in doctoral degrees are discussed followed by issues in doctoral practice. Where salient, comparisons will be made between doctoral programs in Australia and elsewhere, although </w:t>
                      </w:r>
                      <w:r w:rsidRPr="00EB6D40">
                        <w:rPr>
                          <w:b/>
                          <w:bCs/>
                          <w:color w:val="C81688"/>
                          <w:sz w:val="28"/>
                          <w:szCs w:val="28"/>
                        </w:rPr>
                        <w:t>discussion is mainly focused on the situation in Australia.</w:t>
                      </w:r>
                    </w:p>
                  </w:txbxContent>
                </v:textbox>
                <w10:wrap type="square" anchorx="margin"/>
              </v:shape>
            </w:pict>
          </mc:Fallback>
        </mc:AlternateContent>
      </w:r>
    </w:p>
    <w:sectPr w:rsidR="00782BF6" w:rsidRPr="00782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C33"/>
    <w:multiLevelType w:val="hybridMultilevel"/>
    <w:tmpl w:val="F77C0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285E76"/>
    <w:multiLevelType w:val="hybridMultilevel"/>
    <w:tmpl w:val="59069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F6"/>
    <w:rsid w:val="0063361E"/>
    <w:rsid w:val="00782BF6"/>
    <w:rsid w:val="00CE1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36FCE-DCBA-4F89-9079-75D93EF3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B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Maxwell</dc:creator>
  <cp:keywords/>
  <dc:description/>
  <cp:lastModifiedBy>Judy Maxwell</cp:lastModifiedBy>
  <cp:revision>2</cp:revision>
  <dcterms:created xsi:type="dcterms:W3CDTF">2020-01-09T03:27:00Z</dcterms:created>
  <dcterms:modified xsi:type="dcterms:W3CDTF">2020-01-09T03:27:00Z</dcterms:modified>
</cp:coreProperties>
</file>